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066"/>
        <w:gridCol w:w="6448"/>
      </w:tblGrid>
      <w:tr w:rsidR="008F34C2" w:rsidRPr="00150250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1999" w:type="dxa"/>
            <w:vAlign w:val="center"/>
          </w:tcPr>
          <w:p w:rsidR="008F34C2" w:rsidRPr="00150250" w:rsidRDefault="00364362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 w:rsidRPr="00150250"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250950" cy="1250950"/>
                  <wp:effectExtent l="19050" t="0" r="635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8F34C2" w:rsidRPr="00150250" w:rsidRDefault="008F34C2">
            <w:pPr>
              <w:rPr>
                <w:rFonts w:eastAsia="華康隸書體W7"/>
                <w:b/>
                <w:sz w:val="56"/>
                <w:szCs w:val="56"/>
              </w:rPr>
            </w:pPr>
            <w:r w:rsidRPr="00150250">
              <w:rPr>
                <w:rFonts w:eastAsia="華康隸書體W7"/>
                <w:b/>
                <w:sz w:val="56"/>
                <w:szCs w:val="56"/>
              </w:rPr>
              <w:t>法務部行政執行署新聞稿</w:t>
            </w:r>
          </w:p>
          <w:p w:rsidR="00932393" w:rsidRPr="00150250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150250">
              <w:rPr>
                <w:rFonts w:eastAsia="標楷體" w:hAnsi="標楷體"/>
              </w:rPr>
              <w:t>發稿日期：</w:t>
            </w:r>
            <w:r w:rsidRPr="00150250">
              <w:rPr>
                <w:rFonts w:eastAsia="標楷體"/>
              </w:rPr>
              <w:t>103</w:t>
            </w:r>
            <w:r w:rsidRPr="00150250">
              <w:rPr>
                <w:rFonts w:eastAsia="標楷體" w:hAnsi="標楷體"/>
              </w:rPr>
              <w:t>年</w:t>
            </w:r>
            <w:r w:rsidR="00C12336" w:rsidRPr="00150250">
              <w:rPr>
                <w:rFonts w:eastAsia="標楷體"/>
              </w:rPr>
              <w:t>11</w:t>
            </w:r>
            <w:r w:rsidRPr="00150250">
              <w:rPr>
                <w:rFonts w:eastAsia="標楷體" w:hAnsi="標楷體"/>
              </w:rPr>
              <w:t>月</w:t>
            </w:r>
            <w:r w:rsidR="00A05E4A" w:rsidRPr="00150250">
              <w:rPr>
                <w:rFonts w:eastAsia="標楷體"/>
              </w:rPr>
              <w:t>2</w:t>
            </w:r>
            <w:r w:rsidR="00C12336" w:rsidRPr="00150250">
              <w:rPr>
                <w:rFonts w:eastAsia="標楷體"/>
              </w:rPr>
              <w:t>0</w:t>
            </w:r>
            <w:r w:rsidRPr="00150250">
              <w:rPr>
                <w:rFonts w:eastAsia="標楷體" w:hAnsi="標楷體"/>
              </w:rPr>
              <w:t>日</w:t>
            </w:r>
          </w:p>
          <w:p w:rsidR="00932393" w:rsidRPr="00150250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150250">
              <w:rPr>
                <w:rFonts w:eastAsia="標楷體" w:hAnsi="標楷體"/>
              </w:rPr>
              <w:t>發稿機關：法務部行政執行署</w:t>
            </w:r>
          </w:p>
          <w:p w:rsidR="00932393" w:rsidRPr="00150250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150250">
              <w:rPr>
                <w:rFonts w:eastAsia="標楷體" w:hAnsi="標楷體"/>
              </w:rPr>
              <w:t>發</w:t>
            </w:r>
            <w:r w:rsidRPr="00150250">
              <w:rPr>
                <w:rFonts w:eastAsia="標楷體"/>
              </w:rPr>
              <w:t xml:space="preserve"> </w:t>
            </w:r>
            <w:r w:rsidRPr="00150250">
              <w:rPr>
                <w:rFonts w:eastAsia="標楷體" w:hAnsi="標楷體"/>
              </w:rPr>
              <w:t>言</w:t>
            </w:r>
            <w:r w:rsidRPr="00150250">
              <w:rPr>
                <w:rFonts w:eastAsia="標楷體"/>
              </w:rPr>
              <w:t xml:space="preserve"> </w:t>
            </w:r>
            <w:r w:rsidRPr="00150250">
              <w:rPr>
                <w:rFonts w:eastAsia="標楷體" w:hAnsi="標楷體"/>
              </w:rPr>
              <w:t>人：黃副署長騰耀</w:t>
            </w:r>
          </w:p>
          <w:p w:rsidR="00932393" w:rsidRPr="00150250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150250">
              <w:rPr>
                <w:rFonts w:eastAsia="標楷體" w:hAnsi="標楷體"/>
              </w:rPr>
              <w:t>連絡電話：</w:t>
            </w:r>
            <w:r w:rsidRPr="00150250">
              <w:rPr>
                <w:rFonts w:eastAsia="標楷體"/>
              </w:rPr>
              <w:t>02-2633-6650</w:t>
            </w:r>
            <w:r w:rsidRPr="00150250">
              <w:rPr>
                <w:rFonts w:eastAsia="標楷體" w:hAnsi="標楷體"/>
              </w:rPr>
              <w:t>分機</w:t>
            </w:r>
            <w:r w:rsidRPr="00150250">
              <w:rPr>
                <w:rFonts w:eastAsia="標楷體"/>
              </w:rPr>
              <w:t>268</w:t>
            </w:r>
          </w:p>
          <w:p w:rsidR="008F34C2" w:rsidRPr="00150250" w:rsidRDefault="00932393" w:rsidP="00932393">
            <w:pPr>
              <w:ind w:firstLineChars="500" w:firstLine="1200"/>
              <w:jc w:val="both"/>
              <w:rPr>
                <w:b/>
                <w:sz w:val="56"/>
                <w:szCs w:val="56"/>
              </w:rPr>
            </w:pPr>
            <w:r w:rsidRPr="00150250">
              <w:rPr>
                <w:rFonts w:eastAsia="標楷體" w:hAnsi="標楷體"/>
                <w:color w:val="000000"/>
              </w:rPr>
              <w:t>行動電話</w:t>
            </w:r>
            <w:r w:rsidRPr="00150250">
              <w:rPr>
                <w:rFonts w:eastAsia="標楷體" w:hAnsi="標楷體"/>
              </w:rPr>
              <w:t>：</w:t>
            </w:r>
            <w:r w:rsidRPr="00150250">
              <w:rPr>
                <w:rFonts w:eastAsia="標楷體"/>
              </w:rPr>
              <w:t xml:space="preserve">0978929677         </w:t>
            </w:r>
            <w:bookmarkStart w:id="0" w:name="_GoBack"/>
            <w:bookmarkEnd w:id="0"/>
            <w:r w:rsidRPr="00150250">
              <w:rPr>
                <w:rFonts w:eastAsia="標楷體"/>
              </w:rPr>
              <w:t xml:space="preserve"> </w:t>
            </w:r>
            <w:r w:rsidRPr="00150250">
              <w:rPr>
                <w:rFonts w:eastAsia="標楷體" w:hAnsi="標楷體"/>
              </w:rPr>
              <w:t>編號：</w:t>
            </w:r>
            <w:r w:rsidR="00150250" w:rsidRPr="00150250">
              <w:rPr>
                <w:rFonts w:eastAsia="標楷體"/>
              </w:rPr>
              <w:t>103-10</w:t>
            </w:r>
          </w:p>
        </w:tc>
      </w:tr>
    </w:tbl>
    <w:p w:rsidR="008F34C2" w:rsidRPr="00150250" w:rsidRDefault="008F34C2">
      <w:pPr>
        <w:rPr>
          <w:sz w:val="36"/>
          <w:szCs w:val="36"/>
        </w:rPr>
      </w:pPr>
      <w:r w:rsidRPr="00150250">
        <w:rPr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D17343" w:rsidRPr="00150250" w:rsidRDefault="00D17343" w:rsidP="00150250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50250">
        <w:rPr>
          <w:rFonts w:eastAsia="標楷體"/>
          <w:b/>
          <w:sz w:val="32"/>
          <w:szCs w:val="28"/>
        </w:rPr>
        <w:t>行政執行案件推動多元繳款，便利民眾就近在超商繳款</w:t>
      </w:r>
    </w:p>
    <w:p w:rsidR="00895FF3" w:rsidRPr="00150250" w:rsidRDefault="00895FF3" w:rsidP="00150250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50250">
        <w:rPr>
          <w:rFonts w:eastAsia="標楷體"/>
          <w:b/>
          <w:sz w:val="32"/>
          <w:szCs w:val="28"/>
        </w:rPr>
        <w:t>民眾接獲</w:t>
      </w:r>
      <w:r w:rsidR="00D17343" w:rsidRPr="00150250">
        <w:rPr>
          <w:rFonts w:eastAsia="標楷體"/>
          <w:b/>
          <w:sz w:val="32"/>
          <w:szCs w:val="28"/>
        </w:rPr>
        <w:t>傳繳通知書</w:t>
      </w:r>
      <w:r w:rsidRPr="00150250">
        <w:rPr>
          <w:rFonts w:eastAsia="標楷體"/>
          <w:b/>
          <w:sz w:val="32"/>
          <w:szCs w:val="28"/>
        </w:rPr>
        <w:t>如有疑問</w:t>
      </w:r>
      <w:r w:rsidR="00D17343" w:rsidRPr="00150250">
        <w:rPr>
          <w:rFonts w:eastAsia="標楷體"/>
          <w:b/>
          <w:sz w:val="32"/>
          <w:szCs w:val="28"/>
        </w:rPr>
        <w:t>，應適時</w:t>
      </w:r>
      <w:r w:rsidR="008D33B4" w:rsidRPr="00150250">
        <w:rPr>
          <w:rFonts w:eastAsia="標楷體"/>
          <w:b/>
          <w:sz w:val="32"/>
          <w:szCs w:val="28"/>
        </w:rPr>
        <w:t>善</w:t>
      </w:r>
      <w:r w:rsidR="00D17343" w:rsidRPr="00150250">
        <w:rPr>
          <w:rFonts w:eastAsia="標楷體"/>
          <w:b/>
          <w:sz w:val="32"/>
          <w:szCs w:val="28"/>
        </w:rPr>
        <w:t>用</w:t>
      </w:r>
      <w:r w:rsidR="008D33B4" w:rsidRPr="00150250">
        <w:rPr>
          <w:rFonts w:eastAsia="標楷體"/>
          <w:b/>
          <w:sz w:val="32"/>
          <w:szCs w:val="28"/>
        </w:rPr>
        <w:t>管道</w:t>
      </w:r>
      <w:r w:rsidR="00D17343" w:rsidRPr="00150250">
        <w:rPr>
          <w:rFonts w:eastAsia="標楷體"/>
          <w:b/>
          <w:sz w:val="32"/>
          <w:szCs w:val="28"/>
        </w:rPr>
        <w:t>小心求證</w:t>
      </w:r>
    </w:p>
    <w:p w:rsidR="008F34C2" w:rsidRPr="00150250" w:rsidRDefault="00D17343" w:rsidP="00150250">
      <w:pPr>
        <w:spacing w:afterLines="50" w:line="500" w:lineRule="exact"/>
        <w:jc w:val="center"/>
        <w:rPr>
          <w:rFonts w:eastAsia="標楷體"/>
          <w:b/>
          <w:sz w:val="32"/>
          <w:szCs w:val="32"/>
        </w:rPr>
      </w:pPr>
      <w:r w:rsidRPr="00150250">
        <w:rPr>
          <w:rFonts w:eastAsia="標楷體"/>
          <w:b/>
          <w:sz w:val="32"/>
          <w:szCs w:val="28"/>
        </w:rPr>
        <w:t>勿</w:t>
      </w:r>
      <w:r w:rsidR="008D33B4" w:rsidRPr="00150250">
        <w:rPr>
          <w:rFonts w:eastAsia="標楷體"/>
          <w:b/>
          <w:sz w:val="32"/>
          <w:szCs w:val="28"/>
        </w:rPr>
        <w:t>自行認定</w:t>
      </w:r>
      <w:r w:rsidRPr="00150250">
        <w:rPr>
          <w:rFonts w:eastAsia="標楷體"/>
          <w:b/>
          <w:sz w:val="32"/>
          <w:szCs w:val="28"/>
        </w:rPr>
        <w:t>係詐騙集團所為而不理，以免權益受損</w:t>
      </w:r>
    </w:p>
    <w:p w:rsidR="008B7ACC" w:rsidRPr="00150250" w:rsidRDefault="00D17343" w:rsidP="008D33B4">
      <w:pPr>
        <w:pStyle w:val="Default"/>
        <w:spacing w:line="480" w:lineRule="exact"/>
        <w:ind w:firstLineChars="202" w:firstLine="566"/>
        <w:rPr>
          <w:rFonts w:ascii="Times New Roman" w:hAnsi="Times New Roman" w:cs="Times New Roman"/>
        </w:rPr>
      </w:pPr>
      <w:r w:rsidRPr="00150250">
        <w:rPr>
          <w:rFonts w:ascii="Times New Roman" w:eastAsia="標楷體" w:hAnsi="標楷體" w:cs="Times New Roman"/>
          <w:sz w:val="28"/>
          <w:szCs w:val="30"/>
        </w:rPr>
        <w:t>昨日</w:t>
      </w:r>
      <w:r w:rsidR="00167C0E" w:rsidRPr="00150250">
        <w:rPr>
          <w:rFonts w:ascii="Times New Roman" w:eastAsia="標楷體" w:hAnsi="標楷體" w:cs="Times New Roman"/>
          <w:sz w:val="28"/>
          <w:szCs w:val="30"/>
        </w:rPr>
        <w:t>法務部行政執行署</w:t>
      </w:r>
      <w:r w:rsidRPr="00150250">
        <w:rPr>
          <w:rFonts w:ascii="Times New Roman" w:eastAsia="標楷體" w:hAnsi="標楷體" w:cs="Times New Roman"/>
          <w:sz w:val="28"/>
          <w:szCs w:val="30"/>
        </w:rPr>
        <w:t>新北及臺中分署陸續接獲民眾反應網路</w:t>
      </w:r>
      <w:r w:rsidR="004E25AB" w:rsidRPr="00150250">
        <w:rPr>
          <w:rFonts w:ascii="Times New Roman" w:eastAsia="標楷體" w:hAnsi="標楷體" w:cs="Times New Roman"/>
          <w:sz w:val="28"/>
          <w:szCs w:val="30"/>
        </w:rPr>
        <w:t>社群網站、軟體如</w:t>
      </w:r>
      <w:r w:rsidRPr="00150250">
        <w:rPr>
          <w:rFonts w:ascii="Times New Roman" w:eastAsia="標楷體" w:hAnsi="Times New Roman" w:cs="Times New Roman"/>
          <w:sz w:val="28"/>
          <w:szCs w:val="28"/>
        </w:rPr>
        <w:t>facebook</w:t>
      </w:r>
      <w:r w:rsidRPr="00150250">
        <w:rPr>
          <w:rFonts w:ascii="Times New Roman" w:eastAsia="標楷體" w:hAnsi="標楷體" w:cs="Times New Roman"/>
          <w:sz w:val="28"/>
          <w:szCs w:val="28"/>
        </w:rPr>
        <w:t>、</w:t>
      </w:r>
      <w:r w:rsidRPr="00150250">
        <w:rPr>
          <w:rFonts w:ascii="Times New Roman" w:eastAsia="標楷體" w:hAnsi="Times New Roman" w:cs="Times New Roman"/>
          <w:sz w:val="28"/>
          <w:szCs w:val="28"/>
        </w:rPr>
        <w:t>line</w:t>
      </w:r>
      <w:r w:rsidRPr="00150250">
        <w:rPr>
          <w:rFonts w:ascii="Times New Roman" w:eastAsia="標楷體" w:hAnsi="標楷體" w:cs="Times New Roman"/>
          <w:sz w:val="28"/>
          <w:szCs w:val="28"/>
        </w:rPr>
        <w:t>上最近流傳一則訊息附有由該二分署所寄發之傳繳通知書影像，且註記「最新詐騙手法，跟執行署公文書一模一樣，差在下面多了超商繳費條碼，司法院的公文書不會有超商繳費的服務」云云</w:t>
      </w:r>
      <w:r w:rsidR="00743948" w:rsidRPr="00150250">
        <w:rPr>
          <w:rFonts w:ascii="Times New Roman" w:eastAsia="標楷體" w:hAnsi="標楷體" w:cs="Times New Roman"/>
          <w:sz w:val="28"/>
          <w:szCs w:val="28"/>
        </w:rPr>
        <w:t>。但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經</w:t>
      </w:r>
      <w:r w:rsidR="004E25AB" w:rsidRPr="00150250">
        <w:rPr>
          <w:rFonts w:ascii="Times New Roman" w:eastAsia="標楷體" w:hAnsi="標楷體" w:cs="Times New Roman"/>
          <w:sz w:val="28"/>
          <w:szCs w:val="28"/>
        </w:rPr>
        <w:t>該二分署詳為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查證</w:t>
      </w:r>
      <w:r w:rsidR="004E25AB" w:rsidRPr="00150250">
        <w:rPr>
          <w:rFonts w:ascii="Times New Roman" w:eastAsia="標楷體" w:hAnsi="標楷體" w:cs="Times New Roman"/>
          <w:sz w:val="28"/>
          <w:szCs w:val="28"/>
        </w:rPr>
        <w:t>後，</w:t>
      </w:r>
      <w:r w:rsidR="00743948" w:rsidRPr="00150250">
        <w:rPr>
          <w:rFonts w:ascii="Times New Roman" w:eastAsia="標楷體" w:hAnsi="標楷體" w:cs="Times New Roman"/>
          <w:sz w:val="28"/>
          <w:szCs w:val="28"/>
        </w:rPr>
        <w:t>均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已確認以上傳繳通知書</w:t>
      </w:r>
      <w:r w:rsidR="00743948" w:rsidRPr="00150250">
        <w:rPr>
          <w:rFonts w:ascii="Times New Roman" w:eastAsia="標楷體" w:hAnsi="標楷體" w:cs="Times New Roman"/>
          <w:sz w:val="28"/>
          <w:szCs w:val="28"/>
        </w:rPr>
        <w:t>皆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為真實</w:t>
      </w:r>
      <w:r w:rsidR="005B7464" w:rsidRPr="00150250">
        <w:rPr>
          <w:rFonts w:ascii="Times New Roman" w:eastAsia="標楷體" w:hAnsi="標楷體" w:cs="Times New Roman"/>
          <w:sz w:val="28"/>
          <w:szCs w:val="28"/>
        </w:rPr>
        <w:t>。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另外高雄分署在今年</w:t>
      </w:r>
      <w:r w:rsidR="008D33B4" w:rsidRPr="00150250">
        <w:rPr>
          <w:rFonts w:ascii="Times New Roman" w:eastAsia="標楷體" w:hAnsi="Times New Roman" w:cs="Times New Roman"/>
          <w:sz w:val="28"/>
          <w:szCs w:val="28"/>
        </w:rPr>
        <w:t>6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月間亦遇有類似誤</w:t>
      </w:r>
      <w:r w:rsidR="0069278E" w:rsidRPr="00150250">
        <w:rPr>
          <w:rFonts w:ascii="Times New Roman" w:eastAsia="標楷體" w:hAnsi="標楷體" w:cs="Times New Roman"/>
          <w:sz w:val="28"/>
          <w:szCs w:val="28"/>
        </w:rPr>
        <w:t>會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，一度也在網路上</w:t>
      </w:r>
      <w:r w:rsidR="008C42B8" w:rsidRPr="00150250">
        <w:rPr>
          <w:rFonts w:ascii="Times New Roman" w:eastAsia="標楷體" w:hAnsi="標楷體" w:cs="Times New Roman"/>
          <w:sz w:val="28"/>
          <w:szCs w:val="28"/>
        </w:rPr>
        <w:t>廣為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流傳</w:t>
      </w:r>
      <w:r w:rsidR="00743948" w:rsidRPr="00150250">
        <w:rPr>
          <w:rFonts w:ascii="Times New Roman" w:eastAsia="標楷體" w:hAnsi="標楷體" w:cs="Times New Roman"/>
          <w:sz w:val="28"/>
          <w:szCs w:val="28"/>
        </w:rPr>
        <w:t>，造成民眾不小困擾</w:t>
      </w:r>
      <w:r w:rsidR="008D33B4" w:rsidRPr="00150250">
        <w:rPr>
          <w:rFonts w:ascii="Times New Roman" w:eastAsia="標楷體" w:hAnsi="標楷體" w:cs="Times New Roman"/>
          <w:sz w:val="28"/>
          <w:szCs w:val="28"/>
        </w:rPr>
        <w:t>。</w:t>
      </w:r>
    </w:p>
    <w:p w:rsidR="006D001C" w:rsidRPr="00150250" w:rsidRDefault="008C42B8" w:rsidP="00F22DE3">
      <w:pPr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150250">
        <w:rPr>
          <w:rFonts w:eastAsia="標楷體" w:hAnsi="標楷體"/>
          <w:sz w:val="28"/>
          <w:szCs w:val="30"/>
        </w:rPr>
        <w:t>法務部行政執行署</w:t>
      </w:r>
      <w:r w:rsidR="00167C0E" w:rsidRPr="00150250">
        <w:rPr>
          <w:rFonts w:eastAsia="標楷體" w:hAnsi="標楷體"/>
          <w:sz w:val="28"/>
          <w:szCs w:val="28"/>
        </w:rPr>
        <w:t>為便利民眾繳納執行案件小額案款，克服種種困難推動各項多元繳款方式，以免民眾請假奔波等不便，</w:t>
      </w:r>
      <w:r w:rsidR="00801B0B" w:rsidRPr="00150250">
        <w:rPr>
          <w:rFonts w:eastAsia="標楷體" w:hAnsi="標楷體"/>
          <w:sz w:val="28"/>
          <w:szCs w:val="28"/>
        </w:rPr>
        <w:t>除了傳統金融機構及郵局可辦理代收外，考慮現代民眾生活作息實際需求，特</w:t>
      </w:r>
      <w:r w:rsidR="00F22DE3" w:rsidRPr="00150250">
        <w:rPr>
          <w:rFonts w:eastAsia="標楷體" w:hAnsi="標楷體"/>
          <w:sz w:val="28"/>
          <w:szCs w:val="28"/>
        </w:rPr>
        <w:t>從</w:t>
      </w:r>
      <w:r w:rsidR="00167C0E" w:rsidRPr="00150250">
        <w:rPr>
          <w:rFonts w:eastAsia="標楷體"/>
          <w:spacing w:val="12"/>
          <w:sz w:val="28"/>
          <w:szCs w:val="28"/>
        </w:rPr>
        <w:t>97</w:t>
      </w:r>
      <w:r w:rsidR="00167C0E" w:rsidRPr="00150250">
        <w:rPr>
          <w:rFonts w:eastAsia="標楷體" w:hAnsi="標楷體"/>
          <w:spacing w:val="12"/>
          <w:sz w:val="28"/>
          <w:szCs w:val="28"/>
        </w:rPr>
        <w:t>年</w:t>
      </w:r>
      <w:r w:rsidR="00167C0E" w:rsidRPr="00150250">
        <w:rPr>
          <w:rFonts w:eastAsia="標楷體"/>
          <w:spacing w:val="12"/>
          <w:sz w:val="28"/>
          <w:szCs w:val="28"/>
        </w:rPr>
        <w:t>6</w:t>
      </w:r>
      <w:r w:rsidR="00167C0E" w:rsidRPr="00150250">
        <w:rPr>
          <w:rFonts w:eastAsia="標楷體" w:hAnsi="標楷體"/>
          <w:spacing w:val="12"/>
          <w:sz w:val="28"/>
          <w:szCs w:val="28"/>
        </w:rPr>
        <w:t>月</w:t>
      </w:r>
      <w:r w:rsidR="00167C0E" w:rsidRPr="00150250">
        <w:rPr>
          <w:rFonts w:eastAsia="標楷體"/>
          <w:spacing w:val="12"/>
          <w:sz w:val="28"/>
          <w:szCs w:val="28"/>
        </w:rPr>
        <w:t>1</w:t>
      </w:r>
      <w:r w:rsidR="00167C0E" w:rsidRPr="00150250">
        <w:rPr>
          <w:rFonts w:eastAsia="標楷體" w:hAnsi="標楷體"/>
          <w:spacing w:val="12"/>
          <w:sz w:val="28"/>
          <w:szCs w:val="28"/>
        </w:rPr>
        <w:t>日起陸續推行便利商店代收各類行政執行案款，民眾若欠繳未滿</w:t>
      </w:r>
      <w:r w:rsidR="00167C0E" w:rsidRPr="00150250">
        <w:rPr>
          <w:rFonts w:eastAsia="標楷體"/>
          <w:spacing w:val="12"/>
          <w:sz w:val="28"/>
          <w:szCs w:val="28"/>
        </w:rPr>
        <w:t>2</w:t>
      </w:r>
      <w:r w:rsidR="00167C0E" w:rsidRPr="00150250">
        <w:rPr>
          <w:rFonts w:eastAsia="標楷體" w:hAnsi="標楷體"/>
          <w:spacing w:val="12"/>
          <w:sz w:val="28"/>
          <w:szCs w:val="28"/>
        </w:rPr>
        <w:t>萬元</w:t>
      </w:r>
      <w:r w:rsidR="00F22DE3" w:rsidRPr="00150250">
        <w:rPr>
          <w:rFonts w:eastAsia="標楷體" w:hAnsi="標楷體"/>
          <w:spacing w:val="12"/>
          <w:sz w:val="28"/>
          <w:szCs w:val="28"/>
        </w:rPr>
        <w:t>（即移送金額與滯納金合計未滿新台幣</w:t>
      </w:r>
      <w:r w:rsidR="00F22DE3" w:rsidRPr="00150250">
        <w:rPr>
          <w:rFonts w:eastAsia="標楷體"/>
          <w:spacing w:val="12"/>
          <w:sz w:val="28"/>
          <w:szCs w:val="28"/>
        </w:rPr>
        <w:t>1</w:t>
      </w:r>
      <w:r w:rsidR="00F22DE3" w:rsidRPr="00150250">
        <w:rPr>
          <w:rFonts w:eastAsia="標楷體" w:hAnsi="標楷體"/>
          <w:spacing w:val="12"/>
          <w:sz w:val="28"/>
          <w:szCs w:val="28"/>
        </w:rPr>
        <w:t>萬</w:t>
      </w:r>
      <w:r w:rsidR="00F22DE3" w:rsidRPr="00150250">
        <w:rPr>
          <w:rFonts w:eastAsia="標楷體"/>
          <w:spacing w:val="12"/>
          <w:sz w:val="28"/>
          <w:szCs w:val="28"/>
        </w:rPr>
        <w:t>9,000</w:t>
      </w:r>
      <w:r w:rsidR="00F22DE3" w:rsidRPr="00150250">
        <w:rPr>
          <w:rFonts w:eastAsia="標楷體" w:hAnsi="標楷體"/>
          <w:spacing w:val="12"/>
          <w:sz w:val="28"/>
          <w:szCs w:val="28"/>
        </w:rPr>
        <w:t>元，加上利息及執行必要費用未滿新台幣</w:t>
      </w:r>
      <w:r w:rsidR="00F22DE3" w:rsidRPr="00150250">
        <w:rPr>
          <w:rFonts w:eastAsia="標楷體"/>
          <w:spacing w:val="12"/>
          <w:sz w:val="28"/>
          <w:szCs w:val="28"/>
        </w:rPr>
        <w:t>2</w:t>
      </w:r>
      <w:r w:rsidR="00F22DE3" w:rsidRPr="00150250">
        <w:rPr>
          <w:rFonts w:eastAsia="標楷體" w:hAnsi="標楷體"/>
          <w:spacing w:val="12"/>
          <w:sz w:val="28"/>
          <w:szCs w:val="28"/>
        </w:rPr>
        <w:t>萬元）之案件，包含財稅類</w:t>
      </w:r>
      <w:r w:rsidR="00167C0E" w:rsidRPr="00150250">
        <w:rPr>
          <w:rFonts w:eastAsia="標楷體" w:hAnsi="標楷體"/>
          <w:spacing w:val="12"/>
          <w:sz w:val="28"/>
          <w:szCs w:val="28"/>
        </w:rPr>
        <w:t>（</w:t>
      </w:r>
      <w:r w:rsidR="00F22DE3" w:rsidRPr="00150250">
        <w:rPr>
          <w:rFonts w:eastAsia="標楷體" w:hAnsi="標楷體"/>
          <w:spacing w:val="12"/>
          <w:sz w:val="28"/>
          <w:szCs w:val="28"/>
        </w:rPr>
        <w:t>國稅部分計有綜合所得稅及營業稅；地方稅計有</w:t>
      </w:r>
      <w:r w:rsidR="00167C0E" w:rsidRPr="00150250">
        <w:rPr>
          <w:rFonts w:eastAsia="標楷體" w:hAnsi="標楷體"/>
          <w:spacing w:val="12"/>
          <w:sz w:val="28"/>
          <w:szCs w:val="28"/>
        </w:rPr>
        <w:t>汽、機車使用牌照稅、房屋稅、地價稅、土地增值稅、印花稅、契稅及娛樂稅等</w:t>
      </w:r>
      <w:r w:rsidR="00F22DE3" w:rsidRPr="00150250">
        <w:rPr>
          <w:rFonts w:eastAsia="標楷體" w:hAnsi="標楷體"/>
          <w:spacing w:val="12"/>
          <w:sz w:val="28"/>
          <w:szCs w:val="28"/>
        </w:rPr>
        <w:t>，均免收手續費</w:t>
      </w:r>
      <w:r w:rsidR="00F22DE3" w:rsidRPr="00150250">
        <w:rPr>
          <w:rFonts w:eastAsia="標楷體"/>
          <w:spacing w:val="12"/>
          <w:sz w:val="28"/>
          <w:szCs w:val="28"/>
        </w:rPr>
        <w:t>6</w:t>
      </w:r>
      <w:r w:rsidR="00F22DE3" w:rsidRPr="00150250">
        <w:rPr>
          <w:rFonts w:eastAsia="標楷體" w:hAnsi="標楷體"/>
          <w:spacing w:val="12"/>
          <w:sz w:val="28"/>
          <w:szCs w:val="28"/>
        </w:rPr>
        <w:t>元</w:t>
      </w:r>
      <w:r w:rsidR="00167C0E" w:rsidRPr="00150250">
        <w:rPr>
          <w:rFonts w:eastAsia="標楷體" w:hAnsi="標楷體"/>
          <w:spacing w:val="12"/>
          <w:sz w:val="28"/>
          <w:szCs w:val="28"/>
        </w:rPr>
        <w:t>）</w:t>
      </w:r>
      <w:r w:rsidR="00F22DE3" w:rsidRPr="00150250">
        <w:rPr>
          <w:rFonts w:eastAsia="標楷體" w:hAnsi="標楷體"/>
          <w:spacing w:val="12"/>
          <w:sz w:val="28"/>
          <w:szCs w:val="28"/>
        </w:rPr>
        <w:t>、監理類（含公路罰、汽車燃料使用費，免收手續費</w:t>
      </w:r>
      <w:r w:rsidR="00F22DE3" w:rsidRPr="00150250">
        <w:rPr>
          <w:rFonts w:eastAsia="標楷體"/>
          <w:spacing w:val="12"/>
          <w:sz w:val="28"/>
          <w:szCs w:val="28"/>
        </w:rPr>
        <w:t>7</w:t>
      </w:r>
      <w:r w:rsidR="00F22DE3" w:rsidRPr="00150250">
        <w:rPr>
          <w:rFonts w:eastAsia="標楷體" w:hAnsi="標楷體"/>
          <w:spacing w:val="12"/>
          <w:sz w:val="28"/>
          <w:szCs w:val="28"/>
        </w:rPr>
        <w:t>元），以及健保與勞保費（需手續費</w:t>
      </w:r>
      <w:r w:rsidR="00F22DE3" w:rsidRPr="00150250">
        <w:rPr>
          <w:rFonts w:eastAsia="標楷體"/>
          <w:spacing w:val="12"/>
          <w:sz w:val="28"/>
          <w:szCs w:val="28"/>
        </w:rPr>
        <w:t>3</w:t>
      </w:r>
      <w:r w:rsidR="00F22DE3" w:rsidRPr="00150250">
        <w:rPr>
          <w:rFonts w:eastAsia="標楷體" w:hAnsi="標楷體"/>
          <w:spacing w:val="12"/>
          <w:sz w:val="28"/>
          <w:szCs w:val="28"/>
        </w:rPr>
        <w:t>元）</w:t>
      </w:r>
      <w:r w:rsidR="00167C0E" w:rsidRPr="00150250">
        <w:rPr>
          <w:rFonts w:eastAsia="標楷體" w:hAnsi="標楷體"/>
          <w:spacing w:val="12"/>
          <w:sz w:val="28"/>
          <w:szCs w:val="28"/>
        </w:rPr>
        <w:t>，</w:t>
      </w:r>
      <w:r w:rsidR="004E25AB" w:rsidRPr="00150250">
        <w:rPr>
          <w:rFonts w:eastAsia="標楷體" w:hAnsi="標楷體"/>
          <w:spacing w:val="12"/>
          <w:sz w:val="28"/>
          <w:szCs w:val="28"/>
        </w:rPr>
        <w:t>民眾</w:t>
      </w:r>
      <w:r w:rsidR="00167C0E" w:rsidRPr="00150250">
        <w:rPr>
          <w:rFonts w:eastAsia="標楷體" w:hAnsi="標楷體"/>
          <w:spacing w:val="12"/>
          <w:sz w:val="28"/>
          <w:szCs w:val="28"/>
        </w:rPr>
        <w:t>可</w:t>
      </w:r>
      <w:r w:rsidR="00904426" w:rsidRPr="00150250">
        <w:rPr>
          <w:rFonts w:eastAsia="標楷體" w:hAnsi="標楷體"/>
          <w:spacing w:val="12"/>
          <w:sz w:val="28"/>
          <w:szCs w:val="28"/>
        </w:rPr>
        <w:t>直接</w:t>
      </w:r>
      <w:r w:rsidR="00167C0E" w:rsidRPr="00150250">
        <w:rPr>
          <w:rFonts w:eastAsia="標楷體" w:hAnsi="標楷體"/>
          <w:spacing w:val="12"/>
          <w:sz w:val="28"/>
          <w:szCs w:val="28"/>
        </w:rPr>
        <w:t>持各分署發出之傳繳通知書，於繳款期限內</w:t>
      </w:r>
      <w:r w:rsidR="008D5FCC" w:rsidRPr="00150250">
        <w:rPr>
          <w:rFonts w:eastAsia="標楷體" w:hAnsi="標楷體"/>
          <w:spacing w:val="12"/>
          <w:sz w:val="28"/>
          <w:szCs w:val="28"/>
        </w:rPr>
        <w:t>就近</w:t>
      </w:r>
      <w:r w:rsidR="00167C0E" w:rsidRPr="00150250">
        <w:rPr>
          <w:rFonts w:eastAsia="標楷體" w:hAnsi="標楷體"/>
          <w:spacing w:val="12"/>
          <w:sz w:val="28"/>
          <w:szCs w:val="28"/>
        </w:rPr>
        <w:t>至全國各地便利商店繳款，</w:t>
      </w:r>
      <w:r w:rsidR="004E25AB" w:rsidRPr="00150250">
        <w:rPr>
          <w:rFonts w:eastAsia="標楷體" w:hAnsi="標楷體"/>
          <w:spacing w:val="12"/>
          <w:sz w:val="28"/>
          <w:szCs w:val="28"/>
        </w:rPr>
        <w:lastRenderedPageBreak/>
        <w:t>更加</w:t>
      </w:r>
      <w:r w:rsidR="00167C0E" w:rsidRPr="00150250">
        <w:rPr>
          <w:rFonts w:eastAsia="標楷體" w:hAnsi="標楷體"/>
          <w:spacing w:val="12"/>
          <w:sz w:val="28"/>
          <w:szCs w:val="28"/>
        </w:rPr>
        <w:t>方便</w:t>
      </w:r>
      <w:r w:rsidR="00956864" w:rsidRPr="00150250">
        <w:rPr>
          <w:rFonts w:eastAsia="標楷體" w:hAnsi="標楷體"/>
          <w:spacing w:val="12"/>
          <w:sz w:val="28"/>
          <w:szCs w:val="28"/>
        </w:rPr>
        <w:t>、</w:t>
      </w:r>
      <w:r w:rsidR="00167C0E" w:rsidRPr="00150250">
        <w:rPr>
          <w:rFonts w:eastAsia="標楷體" w:hAnsi="標楷體"/>
          <w:spacing w:val="12"/>
          <w:sz w:val="28"/>
          <w:szCs w:val="28"/>
        </w:rPr>
        <w:t>省時</w:t>
      </w:r>
      <w:r w:rsidR="00D812E1" w:rsidRPr="00150250">
        <w:rPr>
          <w:rFonts w:eastAsia="標楷體" w:hAnsi="標楷體"/>
          <w:bCs/>
          <w:sz w:val="28"/>
        </w:rPr>
        <w:t>。</w:t>
      </w:r>
    </w:p>
    <w:p w:rsidR="006B486C" w:rsidRPr="00150250" w:rsidRDefault="00475CF4" w:rsidP="00475CF4">
      <w:pPr>
        <w:spacing w:line="480" w:lineRule="exact"/>
        <w:ind w:firstLineChars="200" w:firstLine="608"/>
        <w:jc w:val="both"/>
        <w:rPr>
          <w:rFonts w:eastAsia="標楷體"/>
          <w:snapToGrid w:val="0"/>
          <w:color w:val="000000"/>
          <w:spacing w:val="2"/>
          <w:kern w:val="0"/>
          <w:sz w:val="28"/>
          <w:szCs w:val="28"/>
        </w:rPr>
      </w:pPr>
      <w:r w:rsidRPr="00150250">
        <w:rPr>
          <w:rFonts w:eastAsia="標楷體" w:hAnsi="標楷體"/>
          <w:spacing w:val="12"/>
          <w:sz w:val="28"/>
          <w:szCs w:val="28"/>
        </w:rPr>
        <w:t>因此</w:t>
      </w:r>
      <w:r w:rsidR="00801B0B" w:rsidRPr="00150250">
        <w:rPr>
          <w:rFonts w:eastAsia="標楷體" w:hAnsi="標楷體"/>
          <w:spacing w:val="12"/>
          <w:sz w:val="28"/>
          <w:szCs w:val="28"/>
        </w:rPr>
        <w:t>現在</w:t>
      </w:r>
      <w:r w:rsidRPr="00150250">
        <w:rPr>
          <w:rFonts w:eastAsia="標楷體" w:hAnsi="標楷體"/>
          <w:spacing w:val="12"/>
          <w:sz w:val="28"/>
          <w:szCs w:val="28"/>
        </w:rPr>
        <w:t>小額案件傳繳通知書下方</w:t>
      </w:r>
      <w:r w:rsidR="00904426" w:rsidRPr="00150250">
        <w:rPr>
          <w:rFonts w:eastAsia="標楷體" w:hAnsi="標楷體"/>
          <w:spacing w:val="12"/>
          <w:sz w:val="28"/>
          <w:szCs w:val="28"/>
        </w:rPr>
        <w:t>均</w:t>
      </w:r>
      <w:r w:rsidRPr="00150250">
        <w:rPr>
          <w:rFonts w:eastAsia="標楷體" w:hAnsi="標楷體"/>
          <w:spacing w:val="12"/>
          <w:sz w:val="28"/>
          <w:szCs w:val="28"/>
        </w:rPr>
        <w:t>會列有超商繳費條碼，</w:t>
      </w:r>
      <w:r w:rsidR="008C42B8" w:rsidRPr="00150250">
        <w:rPr>
          <w:rFonts w:eastAsia="標楷體" w:hAnsi="標楷體"/>
          <w:sz w:val="28"/>
          <w:szCs w:val="28"/>
        </w:rPr>
        <w:t>以便民眾可在超商繳款，民眾僅須持傳繳通知，請超商服務人員刷傳繳通知書之條碼，刷過了即表示傳繳通知書是真的，因為傳繳通知書上的條碼是超商與移送機關各別簽約後始能製發，詐騙集團斷不可能會與超商簽約後</w:t>
      </w:r>
      <w:r w:rsidR="00A67543" w:rsidRPr="00150250">
        <w:rPr>
          <w:rFonts w:eastAsia="標楷體" w:hAnsi="標楷體"/>
          <w:sz w:val="28"/>
          <w:szCs w:val="28"/>
        </w:rPr>
        <w:t>，再假冒</w:t>
      </w:r>
      <w:r w:rsidR="008C42B8" w:rsidRPr="00150250">
        <w:rPr>
          <w:rFonts w:eastAsia="標楷體" w:hAnsi="標楷體"/>
          <w:sz w:val="28"/>
          <w:szCs w:val="28"/>
        </w:rPr>
        <w:t>法務部行政執行署所屬各分署</w:t>
      </w:r>
      <w:r w:rsidR="00A67543" w:rsidRPr="00150250">
        <w:rPr>
          <w:rFonts w:eastAsia="標楷體" w:hAnsi="標楷體"/>
          <w:sz w:val="28"/>
          <w:szCs w:val="28"/>
        </w:rPr>
        <w:t>名義</w:t>
      </w:r>
      <w:r w:rsidR="008C42B8" w:rsidRPr="00150250">
        <w:rPr>
          <w:rFonts w:eastAsia="標楷體" w:hAnsi="標楷體"/>
          <w:sz w:val="28"/>
          <w:szCs w:val="28"/>
        </w:rPr>
        <w:t>去發傳繳通知書寄給民眾，網路所傳執行機關不會有超商繳費服務是不正確的。</w:t>
      </w:r>
    </w:p>
    <w:p w:rsidR="008414A1" w:rsidRPr="00150250" w:rsidRDefault="00581D61" w:rsidP="00282DF5">
      <w:pPr>
        <w:spacing w:line="480" w:lineRule="exact"/>
        <w:ind w:firstLineChars="200" w:firstLine="560"/>
        <w:jc w:val="both"/>
        <w:rPr>
          <w:rFonts w:eastAsia="標楷體"/>
          <w:spacing w:val="-4"/>
          <w:sz w:val="32"/>
          <w:szCs w:val="32"/>
        </w:rPr>
      </w:pPr>
      <w:r w:rsidRPr="00150250">
        <w:rPr>
          <w:rFonts w:eastAsia="標楷體" w:hAnsi="標楷體"/>
          <w:sz w:val="28"/>
          <w:szCs w:val="28"/>
        </w:rPr>
        <w:t>此外，</w:t>
      </w:r>
      <w:r w:rsidR="008D5FCC" w:rsidRPr="00150250">
        <w:rPr>
          <w:rFonts w:eastAsia="標楷體" w:hAnsi="標楷體"/>
          <w:snapToGrid w:val="0"/>
          <w:spacing w:val="2"/>
          <w:sz w:val="28"/>
          <w:szCs w:val="28"/>
        </w:rPr>
        <w:t>民眾如接獲類似傳繳通知書而有疑問時，尚</w:t>
      </w:r>
      <w:r w:rsidR="008D5FCC" w:rsidRPr="00150250">
        <w:rPr>
          <w:rFonts w:eastAsia="標楷體" w:hAnsi="標楷體"/>
          <w:sz w:val="28"/>
          <w:szCs w:val="28"/>
        </w:rPr>
        <w:t>可透過中華電信查詢執行機關之電話號碼，然後打電話向該執行機關查證確認真偽，</w:t>
      </w:r>
      <w:r w:rsidR="00240C04" w:rsidRPr="00150250">
        <w:rPr>
          <w:rFonts w:eastAsia="標楷體" w:hAnsi="標楷體"/>
          <w:sz w:val="28"/>
          <w:szCs w:val="28"/>
        </w:rPr>
        <w:t>以保障自身權益</w:t>
      </w:r>
      <w:r w:rsidR="00240C04" w:rsidRPr="00150250">
        <w:rPr>
          <w:rFonts w:eastAsia="標楷體" w:hAnsi="標楷體"/>
          <w:spacing w:val="-4"/>
          <w:sz w:val="32"/>
          <w:szCs w:val="32"/>
        </w:rPr>
        <w:t>。</w:t>
      </w:r>
      <w:r w:rsidR="00240C04" w:rsidRPr="00150250">
        <w:rPr>
          <w:rFonts w:eastAsia="標楷體" w:hAnsi="標楷體"/>
          <w:sz w:val="28"/>
          <w:szCs w:val="28"/>
        </w:rPr>
        <w:t>切莫因網路謠傳或私自</w:t>
      </w:r>
      <w:r w:rsidR="008D5FCC" w:rsidRPr="00150250">
        <w:rPr>
          <w:rFonts w:eastAsia="標楷體" w:hAnsi="標楷體"/>
          <w:sz w:val="28"/>
          <w:szCs w:val="28"/>
        </w:rPr>
        <w:t>認定是詐騙集團所為而拒不繳納</w:t>
      </w:r>
      <w:r w:rsidR="00282DF5" w:rsidRPr="00150250">
        <w:rPr>
          <w:rFonts w:eastAsia="標楷體" w:hAnsi="標楷體"/>
          <w:sz w:val="28"/>
          <w:szCs w:val="28"/>
        </w:rPr>
        <w:t>。本署亦請民眾在未經查證下，勿一再傳遞類此錯誤訊息，以免造成其他不知情社會大眾的困擾與不安，</w:t>
      </w:r>
      <w:r w:rsidR="00542F9F" w:rsidRPr="00150250">
        <w:rPr>
          <w:rFonts w:eastAsia="標楷體" w:hAnsi="標楷體"/>
          <w:sz w:val="28"/>
          <w:szCs w:val="28"/>
        </w:rPr>
        <w:t>徒增</w:t>
      </w:r>
      <w:r w:rsidR="00282DF5" w:rsidRPr="00150250">
        <w:rPr>
          <w:rFonts w:eastAsia="標楷體" w:hAnsi="標楷體"/>
          <w:sz w:val="28"/>
          <w:szCs w:val="28"/>
        </w:rPr>
        <w:t>社會秩序無謂紛擾。</w:t>
      </w:r>
    </w:p>
    <w:p w:rsidR="000F1836" w:rsidRPr="00150250" w:rsidRDefault="00253316" w:rsidP="00253316">
      <w:pPr>
        <w:spacing w:line="480" w:lineRule="exact"/>
        <w:jc w:val="both"/>
        <w:rPr>
          <w:rFonts w:eastAsia="標楷體"/>
          <w:sz w:val="28"/>
          <w:szCs w:val="28"/>
        </w:rPr>
      </w:pPr>
      <w:r w:rsidRPr="00150250">
        <w:rPr>
          <w:rFonts w:eastAsia="標楷體" w:hAnsi="標楷體"/>
        </w:rPr>
        <w:t>【電子檔請至本署網站</w:t>
      </w:r>
      <w:r w:rsidRPr="00150250">
        <w:rPr>
          <w:rFonts w:eastAsia="標楷體"/>
        </w:rPr>
        <w:t>http://www.tpk.moj.gov.tw/</w:t>
      </w:r>
      <w:r w:rsidRPr="00150250">
        <w:rPr>
          <w:rFonts w:eastAsia="標楷體" w:hAnsi="標楷體"/>
        </w:rPr>
        <w:t>下載】</w:t>
      </w:r>
    </w:p>
    <w:p w:rsidR="008F34C2" w:rsidRPr="00150250" w:rsidRDefault="008F34C2">
      <w:pPr>
        <w:pStyle w:val="Web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</w:p>
    <w:sectPr w:rsidR="008F34C2" w:rsidRPr="00150250" w:rsidSect="00253316">
      <w:footerReference w:type="default" r:id="rId9"/>
      <w:pgSz w:w="11906" w:h="16838"/>
      <w:pgMar w:top="1021" w:right="1588" w:bottom="851" w:left="1588" w:header="851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72" w:rsidRDefault="009A2372">
      <w:r>
        <w:separator/>
      </w:r>
    </w:p>
  </w:endnote>
  <w:endnote w:type="continuationSeparator" w:id="0">
    <w:p w:rsidR="009A2372" w:rsidRDefault="009A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62" w:rsidRDefault="003D4F62">
    <w:pPr>
      <w:pStyle w:val="a7"/>
      <w:jc w:val="right"/>
      <w:rPr>
        <w:rFonts w:hint="eastAsia"/>
        <w:noProof/>
      </w:rPr>
    </w:pPr>
  </w:p>
  <w:p w:rsidR="003D4F62" w:rsidRDefault="003D4F62">
    <w:pPr>
      <w:pStyle w:val="a7"/>
      <w:jc w:val="center"/>
      <w:rPr>
        <w:rFonts w:hint="eastAsia"/>
      </w:rPr>
    </w:pPr>
    <w:r>
      <w:rPr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50250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頁，共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50250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72" w:rsidRDefault="009A2372">
      <w:r>
        <w:separator/>
      </w:r>
    </w:p>
  </w:footnote>
  <w:footnote w:type="continuationSeparator" w:id="0">
    <w:p w:rsidR="009A2372" w:rsidRDefault="009A2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EE"/>
    <w:rsid w:val="00011356"/>
    <w:rsid w:val="00020CAD"/>
    <w:rsid w:val="00027374"/>
    <w:rsid w:val="000672D1"/>
    <w:rsid w:val="000C09C6"/>
    <w:rsid w:val="000C59BB"/>
    <w:rsid w:val="000F1836"/>
    <w:rsid w:val="00150250"/>
    <w:rsid w:val="00156D69"/>
    <w:rsid w:val="001612E1"/>
    <w:rsid w:val="00167C0E"/>
    <w:rsid w:val="00175425"/>
    <w:rsid w:val="001957AC"/>
    <w:rsid w:val="001C70C3"/>
    <w:rsid w:val="001D7A52"/>
    <w:rsid w:val="001F7082"/>
    <w:rsid w:val="00201CA0"/>
    <w:rsid w:val="00240C04"/>
    <w:rsid w:val="00240D4C"/>
    <w:rsid w:val="00253316"/>
    <w:rsid w:val="00256A41"/>
    <w:rsid w:val="00282DF5"/>
    <w:rsid w:val="002962EF"/>
    <w:rsid w:val="002A4C14"/>
    <w:rsid w:val="002B0C7E"/>
    <w:rsid w:val="002E3DAA"/>
    <w:rsid w:val="002E7060"/>
    <w:rsid w:val="00331BD8"/>
    <w:rsid w:val="00356624"/>
    <w:rsid w:val="003567EC"/>
    <w:rsid w:val="00364362"/>
    <w:rsid w:val="00371366"/>
    <w:rsid w:val="003764C5"/>
    <w:rsid w:val="003D4F62"/>
    <w:rsid w:val="003E5893"/>
    <w:rsid w:val="004034F1"/>
    <w:rsid w:val="00456420"/>
    <w:rsid w:val="00475CF4"/>
    <w:rsid w:val="004A2D92"/>
    <w:rsid w:val="004A4328"/>
    <w:rsid w:val="004E09D9"/>
    <w:rsid w:val="004E25AB"/>
    <w:rsid w:val="004F6719"/>
    <w:rsid w:val="00500051"/>
    <w:rsid w:val="00542F9F"/>
    <w:rsid w:val="0056156F"/>
    <w:rsid w:val="00574E73"/>
    <w:rsid w:val="005767BC"/>
    <w:rsid w:val="00581D61"/>
    <w:rsid w:val="005B7464"/>
    <w:rsid w:val="005D4027"/>
    <w:rsid w:val="005E5E4C"/>
    <w:rsid w:val="006261F8"/>
    <w:rsid w:val="006459DF"/>
    <w:rsid w:val="00684263"/>
    <w:rsid w:val="0069278E"/>
    <w:rsid w:val="006B486C"/>
    <w:rsid w:val="006C539D"/>
    <w:rsid w:val="006D001C"/>
    <w:rsid w:val="006E040A"/>
    <w:rsid w:val="006E422E"/>
    <w:rsid w:val="006F2E4D"/>
    <w:rsid w:val="00727907"/>
    <w:rsid w:val="0073386F"/>
    <w:rsid w:val="0073483F"/>
    <w:rsid w:val="00743948"/>
    <w:rsid w:val="00750841"/>
    <w:rsid w:val="007D5075"/>
    <w:rsid w:val="007E0F9E"/>
    <w:rsid w:val="007F5FF3"/>
    <w:rsid w:val="00801B0B"/>
    <w:rsid w:val="00807AEB"/>
    <w:rsid w:val="00810513"/>
    <w:rsid w:val="008154BF"/>
    <w:rsid w:val="008414A1"/>
    <w:rsid w:val="00845427"/>
    <w:rsid w:val="008545D4"/>
    <w:rsid w:val="00857292"/>
    <w:rsid w:val="00864FD5"/>
    <w:rsid w:val="00895FF3"/>
    <w:rsid w:val="008B7ACC"/>
    <w:rsid w:val="008C42B8"/>
    <w:rsid w:val="008D33B4"/>
    <w:rsid w:val="008D5FCC"/>
    <w:rsid w:val="008E7F23"/>
    <w:rsid w:val="008F1508"/>
    <w:rsid w:val="008F2C17"/>
    <w:rsid w:val="008F34C2"/>
    <w:rsid w:val="008F7F0F"/>
    <w:rsid w:val="00904426"/>
    <w:rsid w:val="0090508A"/>
    <w:rsid w:val="00916C40"/>
    <w:rsid w:val="00932393"/>
    <w:rsid w:val="00933116"/>
    <w:rsid w:val="009332BB"/>
    <w:rsid w:val="00956864"/>
    <w:rsid w:val="00961EBA"/>
    <w:rsid w:val="009A2372"/>
    <w:rsid w:val="009C4F48"/>
    <w:rsid w:val="009E5946"/>
    <w:rsid w:val="00A03161"/>
    <w:rsid w:val="00A05E4A"/>
    <w:rsid w:val="00A416D7"/>
    <w:rsid w:val="00A41CB9"/>
    <w:rsid w:val="00A511D4"/>
    <w:rsid w:val="00A67543"/>
    <w:rsid w:val="00A8586F"/>
    <w:rsid w:val="00A963A9"/>
    <w:rsid w:val="00AA270D"/>
    <w:rsid w:val="00B05375"/>
    <w:rsid w:val="00B07EE1"/>
    <w:rsid w:val="00B17305"/>
    <w:rsid w:val="00B36E3F"/>
    <w:rsid w:val="00B63252"/>
    <w:rsid w:val="00B90519"/>
    <w:rsid w:val="00BC4FEE"/>
    <w:rsid w:val="00BC5081"/>
    <w:rsid w:val="00BC6D6B"/>
    <w:rsid w:val="00BF0614"/>
    <w:rsid w:val="00C01B59"/>
    <w:rsid w:val="00C12336"/>
    <w:rsid w:val="00C13655"/>
    <w:rsid w:val="00C26178"/>
    <w:rsid w:val="00C33DBE"/>
    <w:rsid w:val="00C506CE"/>
    <w:rsid w:val="00CA699B"/>
    <w:rsid w:val="00CC558C"/>
    <w:rsid w:val="00CF04DB"/>
    <w:rsid w:val="00D17343"/>
    <w:rsid w:val="00D309B9"/>
    <w:rsid w:val="00D43166"/>
    <w:rsid w:val="00D621F0"/>
    <w:rsid w:val="00D812E1"/>
    <w:rsid w:val="00DB0B8D"/>
    <w:rsid w:val="00DB5CE8"/>
    <w:rsid w:val="00DC2D61"/>
    <w:rsid w:val="00DC3DFE"/>
    <w:rsid w:val="00DF399B"/>
    <w:rsid w:val="00DF74BC"/>
    <w:rsid w:val="00E269DA"/>
    <w:rsid w:val="00E47707"/>
    <w:rsid w:val="00EA14F6"/>
    <w:rsid w:val="00EE46EB"/>
    <w:rsid w:val="00EF3A3C"/>
    <w:rsid w:val="00EF4AB9"/>
    <w:rsid w:val="00F201DF"/>
    <w:rsid w:val="00F22DE3"/>
    <w:rsid w:val="00F373DA"/>
    <w:rsid w:val="00F42920"/>
    <w:rsid w:val="00F51D4B"/>
    <w:rsid w:val="00F67F43"/>
    <w:rsid w:val="00F9758B"/>
    <w:rsid w:val="00FA2AD0"/>
    <w:rsid w:val="00FA347A"/>
    <w:rsid w:val="00FE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Default">
    <w:name w:val="Default"/>
    <w:rsid w:val="00D1734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A296-1B3F-4FB7-8B32-BB3B458C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no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t</cp:lastModifiedBy>
  <cp:revision>3</cp:revision>
  <cp:lastPrinted>2014-11-20T04:09:00Z</cp:lastPrinted>
  <dcterms:created xsi:type="dcterms:W3CDTF">2014-11-20T04:20:00Z</dcterms:created>
  <dcterms:modified xsi:type="dcterms:W3CDTF">2014-11-20T04:22:00Z</dcterms:modified>
</cp:coreProperties>
</file>