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066"/>
        <w:gridCol w:w="6448"/>
      </w:tblGrid>
      <w:tr w:rsidR="008F34C2">
        <w:trPr>
          <w:trHeight w:val="1976"/>
        </w:trPr>
        <w:tc>
          <w:tcPr>
            <w:tcW w:w="1999" w:type="dxa"/>
            <w:vAlign w:val="center"/>
          </w:tcPr>
          <w:p w:rsidR="008F34C2" w:rsidRDefault="00897BDC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56030" cy="1256030"/>
                  <wp:effectExtent l="19050" t="0" r="127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8F34C2" w:rsidRDefault="008F34C2">
            <w:pPr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sz w:val="56"/>
                <w:szCs w:val="56"/>
              </w:rPr>
              <w:t>法務部行政執行署新聞稿</w:t>
            </w:r>
          </w:p>
          <w:p w:rsidR="008F34C2" w:rsidRPr="00A361EF" w:rsidRDefault="008F34C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A361EF">
              <w:rPr>
                <w:rFonts w:ascii="標楷體" w:eastAsia="標楷體" w:hAnsi="標楷體" w:hint="eastAsia"/>
              </w:rPr>
              <w:t>發稿日期：</w:t>
            </w:r>
            <w:r w:rsidR="00933116" w:rsidRPr="00A361EF">
              <w:rPr>
                <w:rFonts w:ascii="標楷體" w:eastAsia="標楷體" w:hAnsi="標楷體" w:hint="eastAsia"/>
              </w:rPr>
              <w:t>10</w:t>
            </w:r>
            <w:r w:rsidR="00785395">
              <w:rPr>
                <w:rFonts w:ascii="標楷體" w:eastAsia="標楷體" w:hAnsi="標楷體" w:hint="eastAsia"/>
              </w:rPr>
              <w:t>5</w:t>
            </w:r>
            <w:r w:rsidRPr="00A361EF">
              <w:rPr>
                <w:rFonts w:ascii="標楷體" w:eastAsia="標楷體" w:hAnsi="標楷體" w:hint="eastAsia"/>
              </w:rPr>
              <w:t>年</w:t>
            </w:r>
            <w:r w:rsidR="00426EA0" w:rsidRPr="00A361EF">
              <w:rPr>
                <w:rFonts w:ascii="標楷體" w:eastAsia="標楷體" w:hAnsi="標楷體" w:hint="eastAsia"/>
              </w:rPr>
              <w:t>9</w:t>
            </w:r>
            <w:r w:rsidRPr="00A361EF">
              <w:rPr>
                <w:rFonts w:ascii="標楷體" w:eastAsia="標楷體" w:hAnsi="標楷體" w:hint="eastAsia"/>
              </w:rPr>
              <w:t>月</w:t>
            </w:r>
            <w:r w:rsidR="00785395">
              <w:rPr>
                <w:rFonts w:ascii="標楷體" w:eastAsia="標楷體" w:hAnsi="標楷體" w:hint="eastAsia"/>
              </w:rPr>
              <w:t>1</w:t>
            </w:r>
            <w:r w:rsidRPr="00A361EF">
              <w:rPr>
                <w:rFonts w:ascii="標楷體" w:eastAsia="標楷體" w:hAnsi="標楷體" w:hint="eastAsia"/>
              </w:rPr>
              <w:t>日</w:t>
            </w:r>
          </w:p>
          <w:p w:rsidR="008F34C2" w:rsidRPr="00A361EF" w:rsidRDefault="008F34C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A361EF">
              <w:rPr>
                <w:rFonts w:ascii="標楷體" w:eastAsia="標楷體" w:hAnsi="標楷體" w:hint="eastAsia"/>
              </w:rPr>
              <w:t>發稿機關：法務部行政執行署</w:t>
            </w:r>
          </w:p>
          <w:p w:rsidR="008F34C2" w:rsidRPr="00803FBB" w:rsidRDefault="00901B6C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</w:t>
            </w:r>
            <w:r w:rsidR="008F34C2" w:rsidRPr="00A361EF">
              <w:rPr>
                <w:rFonts w:ascii="標楷體" w:eastAsia="標楷體" w:hAnsi="標楷體" w:hint="eastAsia"/>
              </w:rPr>
              <w:t xml:space="preserve"> 人</w:t>
            </w:r>
            <w:r w:rsidR="008F34C2" w:rsidRPr="00803FBB">
              <w:rPr>
                <w:rFonts w:ascii="標楷體" w:eastAsia="標楷體" w:hAnsi="標楷體" w:hint="eastAsia"/>
              </w:rPr>
              <w:t>：</w:t>
            </w:r>
            <w:r w:rsidR="00803FBB" w:rsidRPr="00803FBB">
              <w:rPr>
                <w:rFonts w:ascii="標楷體" w:eastAsia="標楷體" w:hAnsi="標楷體" w:hint="eastAsia"/>
              </w:rPr>
              <w:t>李秀玲</w:t>
            </w:r>
          </w:p>
          <w:p w:rsidR="008F34C2" w:rsidRDefault="008F34C2" w:rsidP="00803FBB">
            <w:pPr>
              <w:ind w:firstLineChars="500" w:firstLine="12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A361EF">
              <w:rPr>
                <w:rFonts w:ascii="標楷體" w:eastAsia="標楷體" w:hAnsi="標楷體" w:hint="eastAsia"/>
                <w:color w:val="000000"/>
              </w:rPr>
              <w:t>連絡電話：</w:t>
            </w:r>
            <w:r w:rsidR="00E579F3">
              <w:rPr>
                <w:rFonts w:ascii="標楷體" w:eastAsia="標楷體" w:hAnsi="標楷體" w:hint="eastAsia"/>
                <w:color w:val="000000"/>
              </w:rPr>
              <w:t>(</w:t>
            </w:r>
            <w:r w:rsidR="00E579F3">
              <w:rPr>
                <w:rFonts w:ascii="標楷體" w:eastAsia="標楷體" w:hAnsi="標楷體"/>
                <w:color w:val="000000"/>
              </w:rPr>
              <w:t>02</w:t>
            </w:r>
            <w:r w:rsidR="00E579F3">
              <w:rPr>
                <w:rFonts w:ascii="標楷體" w:eastAsia="標楷體" w:hAnsi="標楷體" w:hint="eastAsia"/>
                <w:color w:val="000000"/>
              </w:rPr>
              <w:t>)2633-6650</w:t>
            </w:r>
            <w:r w:rsidRPr="00A361EF">
              <w:rPr>
                <w:rFonts w:ascii="標楷體" w:eastAsia="標楷體" w:hAnsi="標楷體"/>
                <w:color w:val="000000"/>
              </w:rPr>
              <w:t>分機</w:t>
            </w:r>
            <w:r w:rsidR="00803FBB">
              <w:rPr>
                <w:rFonts w:ascii="標楷體" w:eastAsia="標楷體" w:hAnsi="標楷體" w:hint="eastAsia"/>
                <w:color w:val="000000"/>
              </w:rPr>
              <w:t>215</w:t>
            </w:r>
            <w:r w:rsidR="003721B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721B1" w:rsidRPr="00BE05B7">
              <w:rPr>
                <w:rFonts w:eastAsia="標楷體"/>
                <w:color w:val="000000" w:themeColor="text1"/>
              </w:rPr>
              <w:t>編號：</w:t>
            </w:r>
            <w:r w:rsidR="003721B1" w:rsidRPr="00BE05B7">
              <w:rPr>
                <w:rFonts w:eastAsia="標楷體"/>
                <w:color w:val="000000" w:themeColor="text1"/>
              </w:rPr>
              <w:t>10</w:t>
            </w:r>
            <w:r w:rsidR="003721B1" w:rsidRPr="00BE05B7">
              <w:rPr>
                <w:rFonts w:eastAsia="標楷體" w:hint="eastAsia"/>
                <w:color w:val="000000" w:themeColor="text1"/>
              </w:rPr>
              <w:t>5</w:t>
            </w:r>
            <w:r w:rsidR="003721B1" w:rsidRPr="00BE05B7">
              <w:rPr>
                <w:rFonts w:eastAsia="標楷體"/>
                <w:color w:val="000000" w:themeColor="text1"/>
              </w:rPr>
              <w:t>-0</w:t>
            </w:r>
            <w:r w:rsidR="003721B1">
              <w:rPr>
                <w:rFonts w:eastAsia="標楷體" w:hint="eastAsia"/>
                <w:color w:val="000000" w:themeColor="text1"/>
              </w:rPr>
              <w:t>3</w:t>
            </w:r>
          </w:p>
        </w:tc>
      </w:tr>
    </w:tbl>
    <w:p w:rsidR="008F34C2" w:rsidRDefault="004F6EFD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C4677B" w:rsidRPr="00C4677B" w:rsidRDefault="00C4677B" w:rsidP="00C4677B">
      <w:pPr>
        <w:spacing w:afterLines="50" w:line="440" w:lineRule="exact"/>
        <w:ind w:firstLineChars="200" w:firstLine="641"/>
        <w:jc w:val="both"/>
        <w:rPr>
          <w:rFonts w:ascii="標楷體" w:eastAsia="標楷體" w:hAnsi="標楷體" w:hint="eastAsia"/>
          <w:b/>
          <w:sz w:val="32"/>
          <w:szCs w:val="32"/>
          <w:lang w:val="de-DE"/>
        </w:rPr>
      </w:pPr>
      <w:r>
        <w:rPr>
          <w:rFonts w:ascii="標楷體" w:eastAsia="標楷體" w:hAnsi="標楷體" w:hint="eastAsia"/>
          <w:b/>
          <w:sz w:val="32"/>
          <w:szCs w:val="32"/>
          <w:lang w:val="de-DE"/>
        </w:rPr>
        <w:t>本署新任</w:t>
      </w:r>
      <w:r w:rsidRPr="00C4677B">
        <w:rPr>
          <w:rFonts w:ascii="標楷體" w:eastAsia="標楷體" w:hAnsi="標楷體" w:hint="eastAsia"/>
          <w:b/>
          <w:sz w:val="32"/>
          <w:szCs w:val="32"/>
          <w:lang w:val="de-DE"/>
        </w:rPr>
        <w:t>朱署長家崎及</w:t>
      </w:r>
      <w:r w:rsidR="009F6B5E">
        <w:rPr>
          <w:rFonts w:ascii="標楷體" w:eastAsia="標楷體" w:hAnsi="標楷體" w:hint="eastAsia"/>
          <w:b/>
          <w:sz w:val="32"/>
          <w:szCs w:val="32"/>
          <w:lang w:val="de-DE"/>
        </w:rPr>
        <w:t>新任</w:t>
      </w:r>
      <w:r w:rsidRPr="00C4677B">
        <w:rPr>
          <w:rFonts w:ascii="標楷體" w:eastAsia="標楷體" w:hAnsi="標楷體" w:hint="eastAsia"/>
          <w:b/>
          <w:sz w:val="32"/>
          <w:szCs w:val="32"/>
          <w:lang w:val="de-DE"/>
        </w:rPr>
        <w:t>分署長</w:t>
      </w:r>
      <w:r>
        <w:rPr>
          <w:rFonts w:ascii="標楷體" w:eastAsia="標楷體" w:hAnsi="標楷體" w:hint="eastAsia"/>
          <w:b/>
          <w:sz w:val="32"/>
          <w:szCs w:val="32"/>
          <w:lang w:val="de-DE"/>
        </w:rPr>
        <w:t>9月1日</w:t>
      </w:r>
      <w:r w:rsidRPr="00C4677B">
        <w:rPr>
          <w:rFonts w:ascii="標楷體" w:eastAsia="標楷體" w:hAnsi="標楷體" w:hint="eastAsia"/>
          <w:b/>
          <w:sz w:val="32"/>
          <w:szCs w:val="32"/>
          <w:lang w:val="de-DE"/>
        </w:rPr>
        <w:t>交接</w:t>
      </w:r>
    </w:p>
    <w:p w:rsidR="00E90478" w:rsidRPr="00E31DD8" w:rsidRDefault="00DC2E46" w:rsidP="00A039C1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val="de-DE"/>
        </w:rPr>
      </w:pPr>
      <w:r w:rsidRPr="00E31DD8">
        <w:rPr>
          <w:rFonts w:ascii="標楷體" w:eastAsia="標楷體" w:hAnsi="標楷體" w:hint="eastAsia"/>
          <w:sz w:val="28"/>
          <w:szCs w:val="28"/>
          <w:lang w:val="de-DE"/>
        </w:rPr>
        <w:t>「法務部行政執行署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署長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及各分署</w:t>
      </w:r>
      <w:r w:rsidR="00E579F3" w:rsidRPr="00E31DD8">
        <w:rPr>
          <w:rFonts w:ascii="標楷體" w:eastAsia="標楷體" w:hAnsi="標楷體" w:hint="eastAsia"/>
          <w:sz w:val="28"/>
          <w:szCs w:val="28"/>
          <w:lang w:val="de-DE"/>
        </w:rPr>
        <w:t>分署長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聯合交接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暨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宣誓典禮」於今（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1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）日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下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午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4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時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整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在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法務部5樓大禮堂舉行，由法務部</w:t>
      </w:r>
      <w:r w:rsidR="00824D5D" w:rsidRPr="00E31DD8">
        <w:rPr>
          <w:rFonts w:ascii="標楷體" w:eastAsia="標楷體" w:hAnsi="標楷體" w:hint="eastAsia"/>
          <w:sz w:val="28"/>
          <w:szCs w:val="28"/>
          <w:lang w:val="de-DE"/>
        </w:rPr>
        <w:t>部長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邱太三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監交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及監誓。</w:t>
      </w:r>
      <w:r w:rsidR="00E90478" w:rsidRPr="00E31DD8">
        <w:rPr>
          <w:rFonts w:ascii="標楷體" w:eastAsia="標楷體" w:hAnsi="標楷體" w:hint="eastAsia"/>
          <w:sz w:val="28"/>
          <w:szCs w:val="28"/>
          <w:lang w:val="de-DE"/>
        </w:rPr>
        <w:t>計有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財政部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賦稅署李署長慶華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、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北區及南區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國稅局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副局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長、最高</w:t>
      </w:r>
      <w:r w:rsidR="006F15E0" w:rsidRPr="00E31DD8">
        <w:rPr>
          <w:rFonts w:ascii="標楷體" w:eastAsia="標楷體" w:hAnsi="標楷體" w:hint="eastAsia"/>
          <w:sz w:val="28"/>
          <w:szCs w:val="28"/>
          <w:lang w:val="de-DE"/>
        </w:rPr>
        <w:t>法院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檢察署顏檢察總長大和、陳政務次長明堂、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張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常務次長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斗輝</w:t>
      </w:r>
      <w:r w:rsidR="00C14239" w:rsidRPr="00E31DD8">
        <w:rPr>
          <w:rFonts w:ascii="標楷體" w:eastAsia="標楷體" w:hAnsi="標楷體" w:hint="eastAsia"/>
          <w:sz w:val="28"/>
          <w:szCs w:val="28"/>
          <w:lang w:val="de-DE"/>
        </w:rPr>
        <w:t>及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法務部</w:t>
      </w:r>
      <w:r w:rsidR="00E90478" w:rsidRPr="00E31DD8">
        <w:rPr>
          <w:rFonts w:ascii="標楷體" w:eastAsia="標楷體" w:hAnsi="標楷體" w:hint="eastAsia"/>
          <w:sz w:val="28"/>
          <w:szCs w:val="28"/>
          <w:lang w:val="de-DE"/>
        </w:rPr>
        <w:t>各司處主管、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副主管、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北</w:t>
      </w:r>
      <w:r w:rsidR="00E579F3" w:rsidRPr="00E31DD8">
        <w:rPr>
          <w:rFonts w:ascii="標楷體" w:eastAsia="標楷體" w:hAnsi="標楷體" w:hint="eastAsia"/>
          <w:sz w:val="28"/>
          <w:szCs w:val="28"/>
          <w:lang w:val="de-DE"/>
        </w:rPr>
        <w:t>、中</w:t>
      </w:r>
      <w:r w:rsidR="00305A13" w:rsidRPr="00E31DD8">
        <w:rPr>
          <w:rFonts w:ascii="標楷體" w:eastAsia="標楷體" w:hAnsi="標楷體" w:hint="eastAsia"/>
          <w:sz w:val="28"/>
          <w:szCs w:val="28"/>
          <w:lang w:val="de-DE"/>
        </w:rPr>
        <w:t>、南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部地區檢察機關</w:t>
      </w:r>
      <w:r w:rsidR="005A6311" w:rsidRPr="00E31DD8">
        <w:rPr>
          <w:rFonts w:ascii="標楷體" w:eastAsia="標楷體" w:hAnsi="標楷體" w:hint="eastAsia"/>
          <w:sz w:val="28"/>
          <w:szCs w:val="28"/>
          <w:lang w:val="de-DE"/>
        </w:rPr>
        <w:t>檢察長</w:t>
      </w:r>
      <w:r w:rsidR="00E90478" w:rsidRPr="00E31DD8">
        <w:rPr>
          <w:rFonts w:ascii="標楷體" w:eastAsia="標楷體" w:hAnsi="標楷體" w:hint="eastAsia"/>
          <w:sz w:val="28"/>
          <w:szCs w:val="28"/>
          <w:lang w:val="de-DE"/>
        </w:rPr>
        <w:t>等機關首長及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執行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機關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同仁約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一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百</w:t>
      </w:r>
      <w:r w:rsidR="002930B3">
        <w:rPr>
          <w:rFonts w:ascii="標楷體" w:eastAsia="標楷體" w:hAnsi="標楷體" w:hint="eastAsia"/>
          <w:sz w:val="28"/>
          <w:szCs w:val="28"/>
          <w:lang w:val="de-DE"/>
        </w:rPr>
        <w:t>八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十</w:t>
      </w:r>
      <w:r w:rsidRPr="00E31DD8">
        <w:rPr>
          <w:rFonts w:ascii="標楷體" w:eastAsia="標楷體" w:hAnsi="標楷體" w:hint="eastAsia"/>
          <w:sz w:val="28"/>
          <w:szCs w:val="28"/>
          <w:lang w:val="de-DE"/>
        </w:rPr>
        <w:t>人觀禮。</w:t>
      </w:r>
    </w:p>
    <w:p w:rsidR="00E31DD8" w:rsidRPr="002E7B50" w:rsidRDefault="002256B4" w:rsidP="00897BDC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31DD8">
        <w:rPr>
          <w:rFonts w:ascii="標楷體" w:eastAsia="標楷體" w:hAnsi="標楷體" w:hint="eastAsia"/>
          <w:sz w:val="28"/>
          <w:szCs w:val="28"/>
          <w:lang w:val="de-DE"/>
        </w:rPr>
        <w:t>在</w:t>
      </w:r>
      <w:r w:rsidR="00785395" w:rsidRPr="00E31DD8">
        <w:rPr>
          <w:rFonts w:ascii="標楷體" w:eastAsia="標楷體" w:hAnsi="標楷體" w:hint="eastAsia"/>
          <w:sz w:val="28"/>
          <w:szCs w:val="28"/>
          <w:lang w:val="de-DE"/>
        </w:rPr>
        <w:t>署長及</w:t>
      </w:r>
      <w:r w:rsidR="00387C48" w:rsidRPr="00E31DD8">
        <w:rPr>
          <w:rFonts w:ascii="標楷體" w:eastAsia="標楷體" w:hAnsi="標楷體" w:hint="eastAsia"/>
          <w:sz w:val="28"/>
          <w:szCs w:val="28"/>
          <w:lang w:val="de-DE"/>
        </w:rPr>
        <w:t>卸、新任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分署長交接及</w:t>
      </w:r>
      <w:r w:rsidR="00387C48" w:rsidRPr="00E31DD8">
        <w:rPr>
          <w:rFonts w:ascii="標楷體" w:eastAsia="標楷體" w:hAnsi="標楷體" w:hint="eastAsia"/>
          <w:sz w:val="28"/>
          <w:szCs w:val="28"/>
          <w:lang w:val="de-DE"/>
        </w:rPr>
        <w:t>新任人員</w:t>
      </w:r>
      <w:r w:rsidR="00B222DA" w:rsidRPr="00E31DD8">
        <w:rPr>
          <w:rFonts w:ascii="標楷體" w:eastAsia="標楷體" w:hAnsi="標楷體" w:hint="eastAsia"/>
          <w:sz w:val="28"/>
          <w:szCs w:val="28"/>
          <w:lang w:val="de-DE"/>
        </w:rPr>
        <w:t>宣誓後，由新任</w:t>
      </w:r>
      <w:r w:rsidR="00305A13" w:rsidRPr="00E31DD8">
        <w:rPr>
          <w:rFonts w:ascii="標楷體" w:eastAsia="標楷體" w:hAnsi="標楷體" w:hint="eastAsia"/>
          <w:sz w:val="28"/>
          <w:szCs w:val="28"/>
          <w:lang w:val="de-DE"/>
        </w:rPr>
        <w:t>朱署長致詞</w:t>
      </w:r>
      <w:r w:rsidR="0013333D" w:rsidRPr="00E31DD8">
        <w:rPr>
          <w:rFonts w:ascii="標楷體" w:eastAsia="標楷體" w:hAnsi="標楷體" w:hint="eastAsia"/>
          <w:sz w:val="28"/>
          <w:szCs w:val="28"/>
          <w:lang w:val="de-DE"/>
        </w:rPr>
        <w:t>表示，在</w:t>
      </w:r>
      <w:r w:rsidR="0013333D" w:rsidRPr="00E31DD8">
        <w:rPr>
          <w:rFonts w:ascii="標楷體" w:eastAsia="標楷體" w:hAnsi="標楷體" w:hint="eastAsia"/>
          <w:sz w:val="28"/>
          <w:szCs w:val="28"/>
        </w:rPr>
        <w:t>此新、卸任首長交接時刻，</w:t>
      </w:r>
      <w:r w:rsidR="0013333D" w:rsidRPr="00E31DD8">
        <w:rPr>
          <w:rFonts w:ascii="標楷體" w:eastAsia="標楷體" w:hAnsi="標楷體"/>
          <w:sz w:val="28"/>
          <w:szCs w:val="28"/>
        </w:rPr>
        <w:t>首長負有推動機關業務成敗之責</w:t>
      </w:r>
      <w:r w:rsidR="0013333D" w:rsidRPr="00E31DD8">
        <w:rPr>
          <w:rFonts w:ascii="標楷體" w:eastAsia="標楷體" w:hAnsi="標楷體" w:hint="eastAsia"/>
          <w:sz w:val="28"/>
          <w:szCs w:val="28"/>
        </w:rPr>
        <w:t>，領導團隊朝向正確目標，達成任務，實在是一項很大的挑戰，</w:t>
      </w:r>
      <w:r w:rsidR="00901B6C">
        <w:rPr>
          <w:rFonts w:ascii="標楷體" w:eastAsia="標楷體" w:hAnsi="標楷體" w:hint="eastAsia"/>
          <w:sz w:val="28"/>
          <w:szCs w:val="28"/>
        </w:rPr>
        <w:t>以十分的準備</w:t>
      </w:r>
      <w:r w:rsidR="00D32883">
        <w:rPr>
          <w:rFonts w:ascii="標楷體" w:eastAsia="標楷體" w:hAnsi="標楷體" w:hint="eastAsia"/>
          <w:sz w:val="28"/>
          <w:szCs w:val="28"/>
        </w:rPr>
        <w:t>，</w:t>
      </w:r>
      <w:r w:rsidR="00901B6C">
        <w:rPr>
          <w:rFonts w:ascii="標楷體" w:eastAsia="標楷體" w:hAnsi="標楷體" w:hint="eastAsia"/>
          <w:sz w:val="28"/>
          <w:szCs w:val="28"/>
        </w:rPr>
        <w:t>迎接三分的工作並非浪費，而以三分的態度</w:t>
      </w:r>
      <w:r w:rsidR="00D32883">
        <w:rPr>
          <w:rFonts w:ascii="標楷體" w:eastAsia="標楷體" w:hAnsi="標楷體" w:hint="eastAsia"/>
          <w:sz w:val="28"/>
          <w:szCs w:val="28"/>
        </w:rPr>
        <w:t>，</w:t>
      </w:r>
      <w:r w:rsidR="00901B6C">
        <w:rPr>
          <w:rFonts w:ascii="標楷體" w:eastAsia="標楷體" w:hAnsi="標楷體" w:hint="eastAsia"/>
          <w:sz w:val="28"/>
          <w:szCs w:val="28"/>
        </w:rPr>
        <w:t>面對十分的工作，將帶來毀滅性的傷害。面對未來的工作與責任</w:t>
      </w:r>
      <w:r w:rsidR="0013333D" w:rsidRPr="002E7B50">
        <w:rPr>
          <w:rFonts w:ascii="標楷體" w:eastAsia="標楷體" w:hAnsi="標楷體" w:hint="eastAsia"/>
          <w:sz w:val="28"/>
          <w:szCs w:val="28"/>
        </w:rPr>
        <w:t>，</w:t>
      </w:r>
      <w:r w:rsidR="00D54B3B">
        <w:rPr>
          <w:rFonts w:ascii="標楷體" w:eastAsia="標楷體" w:hAnsi="標楷體" w:hint="eastAsia"/>
          <w:sz w:val="28"/>
          <w:szCs w:val="28"/>
        </w:rPr>
        <w:t>以適才適</w:t>
      </w:r>
      <w:r w:rsidR="00D60F6F">
        <w:rPr>
          <w:rFonts w:ascii="標楷體" w:eastAsia="標楷體" w:hAnsi="標楷體" w:hint="eastAsia"/>
          <w:sz w:val="28"/>
          <w:szCs w:val="28"/>
        </w:rPr>
        <w:t>所、絞盡腦汁讓支點、焦點及平衡點井然有序</w:t>
      </w:r>
      <w:r w:rsidR="001B184F">
        <w:rPr>
          <w:rFonts w:ascii="標楷體" w:eastAsia="標楷體" w:hAnsi="標楷體" w:hint="eastAsia"/>
          <w:sz w:val="28"/>
          <w:szCs w:val="28"/>
        </w:rPr>
        <w:t>並</w:t>
      </w:r>
      <w:r w:rsidR="00D60F6F">
        <w:rPr>
          <w:rFonts w:ascii="標楷體" w:eastAsia="標楷體" w:hAnsi="標楷體" w:hint="eastAsia"/>
          <w:sz w:val="28"/>
          <w:szCs w:val="28"/>
        </w:rPr>
        <w:t>重視歡喜做，甘願受及專業</w:t>
      </w:r>
      <w:r w:rsidR="001B184F">
        <w:rPr>
          <w:rFonts w:ascii="標楷體" w:eastAsia="標楷體" w:hAnsi="標楷體" w:hint="eastAsia"/>
          <w:sz w:val="28"/>
          <w:szCs w:val="28"/>
        </w:rPr>
        <w:t>之人</w:t>
      </w:r>
      <w:r w:rsidR="00D60F6F">
        <w:rPr>
          <w:rFonts w:ascii="標楷體" w:eastAsia="標楷體" w:hAnsi="標楷體" w:hint="eastAsia"/>
          <w:sz w:val="28"/>
          <w:szCs w:val="28"/>
        </w:rPr>
        <w:t>，守護程序公平效能及品格四根柱子，展示能力</w:t>
      </w:r>
      <w:r w:rsidR="001B184F">
        <w:rPr>
          <w:rFonts w:ascii="標楷體" w:eastAsia="標楷體" w:hAnsi="標楷體" w:hint="eastAsia"/>
          <w:sz w:val="28"/>
          <w:szCs w:val="28"/>
        </w:rPr>
        <w:t>贏</w:t>
      </w:r>
      <w:r w:rsidR="00D60F6F">
        <w:rPr>
          <w:rFonts w:ascii="標楷體" w:eastAsia="標楷體" w:hAnsi="標楷體" w:hint="eastAsia"/>
          <w:sz w:val="28"/>
          <w:szCs w:val="28"/>
        </w:rPr>
        <w:t>得人民的信任</w:t>
      </w:r>
      <w:r w:rsidR="00D54B3B">
        <w:rPr>
          <w:rFonts w:ascii="標楷體" w:eastAsia="標楷體" w:hAnsi="標楷體" w:hint="eastAsia"/>
          <w:sz w:val="28"/>
          <w:szCs w:val="28"/>
        </w:rPr>
        <w:t>與同</w:t>
      </w:r>
      <w:r w:rsidR="00013EF4">
        <w:rPr>
          <w:rFonts w:ascii="標楷體" w:eastAsia="標楷體" w:hAnsi="標楷體" w:hint="eastAsia"/>
          <w:sz w:val="28"/>
          <w:szCs w:val="28"/>
        </w:rPr>
        <w:t>仁</w:t>
      </w:r>
      <w:r w:rsidR="00D54B3B">
        <w:rPr>
          <w:rFonts w:ascii="標楷體" w:eastAsia="標楷體" w:hAnsi="標楷體" w:hint="eastAsia"/>
          <w:sz w:val="28"/>
          <w:szCs w:val="28"/>
        </w:rPr>
        <w:t>共勉</w:t>
      </w:r>
      <w:r w:rsidR="00901B6C">
        <w:rPr>
          <w:rFonts w:ascii="標楷體" w:eastAsia="標楷體" w:hAnsi="標楷體" w:hint="eastAsia"/>
          <w:sz w:val="28"/>
          <w:szCs w:val="28"/>
        </w:rPr>
        <w:t>，</w:t>
      </w:r>
      <w:r w:rsidR="00E31DD8" w:rsidRPr="002E7B50">
        <w:rPr>
          <w:rFonts w:ascii="標楷體" w:eastAsia="標楷體" w:hAnsi="標楷體" w:hint="eastAsia"/>
          <w:sz w:val="28"/>
          <w:szCs w:val="28"/>
        </w:rPr>
        <w:t>期盼與同仁一起努力，繼續深耕經營，更創執行佳績！</w:t>
      </w:r>
    </w:p>
    <w:p w:rsidR="002E7B50" w:rsidRPr="00897BDC" w:rsidRDefault="00875270" w:rsidP="00897BDC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7BDC">
        <w:rPr>
          <w:rFonts w:ascii="標楷體" w:eastAsia="標楷體" w:hAnsi="標楷體" w:hint="eastAsia"/>
          <w:sz w:val="28"/>
          <w:szCs w:val="28"/>
        </w:rPr>
        <w:t>現場致詞</w:t>
      </w:r>
      <w:r w:rsidR="008D0463" w:rsidRPr="00897BDC">
        <w:rPr>
          <w:rFonts w:ascii="標楷體" w:eastAsia="標楷體" w:hAnsi="標楷體" w:hint="eastAsia"/>
          <w:sz w:val="28"/>
          <w:szCs w:val="28"/>
        </w:rPr>
        <w:t>貴賓</w:t>
      </w:r>
      <w:r w:rsidR="00425F46" w:rsidRPr="00897BDC">
        <w:rPr>
          <w:rFonts w:ascii="標楷體" w:eastAsia="標楷體" w:hAnsi="標楷體" w:hint="eastAsia"/>
          <w:sz w:val="28"/>
          <w:szCs w:val="28"/>
        </w:rPr>
        <w:t>賦稅署李署長慶華</w:t>
      </w:r>
      <w:r w:rsidR="00CB12B3" w:rsidRPr="00897BDC">
        <w:rPr>
          <w:rFonts w:ascii="標楷體" w:eastAsia="標楷體" w:hAnsi="標楷體" w:hint="eastAsia"/>
          <w:sz w:val="28"/>
          <w:szCs w:val="28"/>
        </w:rPr>
        <w:t>提到</w:t>
      </w:r>
      <w:r w:rsidR="002E7B50" w:rsidRPr="00897BDC">
        <w:rPr>
          <w:rFonts w:ascii="標楷體" w:eastAsia="標楷體" w:hAnsi="標楷體" w:hint="eastAsia"/>
          <w:sz w:val="28"/>
          <w:szCs w:val="28"/>
        </w:rPr>
        <w:t>，行政執行機關成立迄今16年餘，年年締造亮麗的績效，自90年1月累積至105年7月，總徵起金額達新臺幣4,646億餘元，其中財稅案件徵起金額達</w:t>
      </w:r>
      <w:r w:rsidR="002E7B50" w:rsidRPr="00897BDC">
        <w:rPr>
          <w:rFonts w:ascii="標楷體" w:eastAsia="標楷體" w:hAnsi="標楷體"/>
          <w:sz w:val="28"/>
          <w:szCs w:val="28"/>
        </w:rPr>
        <w:t>2,126</w:t>
      </w:r>
      <w:r w:rsidR="002E7B50" w:rsidRPr="00897BDC">
        <w:rPr>
          <w:rFonts w:ascii="標楷體" w:eastAsia="標楷體" w:hAnsi="標楷體" w:hint="eastAsia"/>
          <w:sz w:val="28"/>
          <w:szCs w:val="28"/>
        </w:rPr>
        <w:t>億餘元，占總徵起金額之45.6%；又行政執行機關自成立到105年7月，總受理件數高達8,029萬餘件，其中財稅機關移送的案件有2,039萬餘件，而到今年7月底，在行政執行機關同仁的努力下，有1,958萬餘件即高達96%的財稅案件已經執行終結。藉此機會感謝執行分署同</w:t>
      </w:r>
      <w:r w:rsidR="002E7B50" w:rsidRPr="00897BDC">
        <w:rPr>
          <w:rFonts w:ascii="標楷體" w:eastAsia="標楷體" w:hAnsi="標楷體" w:hint="eastAsia"/>
          <w:sz w:val="28"/>
          <w:szCs w:val="28"/>
        </w:rPr>
        <w:lastRenderedPageBreak/>
        <w:t>仁對於稅捐案件執行所付出的辛勞。</w:t>
      </w:r>
    </w:p>
    <w:p w:rsidR="00391784" w:rsidRPr="00BD63A6" w:rsidRDefault="00425F46" w:rsidP="00391784">
      <w:pPr>
        <w:pStyle w:val="a4"/>
        <w:spacing w:line="460" w:lineRule="exact"/>
        <w:ind w:left="0" w:firstLineChars="200" w:firstLine="560"/>
        <w:jc w:val="both"/>
        <w:rPr>
          <w:rFonts w:ascii="標楷體" w:hAnsi="標楷體"/>
          <w:color w:val="FF0000"/>
          <w:sz w:val="28"/>
          <w:szCs w:val="28"/>
        </w:rPr>
      </w:pPr>
      <w:r w:rsidRPr="00391784">
        <w:rPr>
          <w:rFonts w:ascii="標楷體" w:hAnsi="標楷體" w:hint="eastAsia"/>
          <w:sz w:val="28"/>
          <w:szCs w:val="28"/>
          <w:lang w:val="de-DE"/>
        </w:rPr>
        <w:t>邱</w:t>
      </w:r>
      <w:r w:rsidR="00536232" w:rsidRPr="00391784">
        <w:rPr>
          <w:rFonts w:ascii="標楷體" w:hAnsi="標楷體" w:hint="eastAsia"/>
          <w:sz w:val="28"/>
          <w:szCs w:val="28"/>
          <w:lang w:val="de-DE"/>
        </w:rPr>
        <w:t>部長</w:t>
      </w:r>
      <w:r w:rsidRPr="00391784">
        <w:rPr>
          <w:rFonts w:ascii="標楷體" w:hAnsi="標楷體" w:hint="eastAsia"/>
          <w:sz w:val="28"/>
          <w:szCs w:val="28"/>
          <w:lang w:val="de-DE"/>
        </w:rPr>
        <w:t>太三</w:t>
      </w:r>
      <w:r w:rsidR="00B13270">
        <w:rPr>
          <w:rFonts w:ascii="標楷體" w:hAnsi="標楷體" w:hint="eastAsia"/>
          <w:sz w:val="28"/>
          <w:szCs w:val="28"/>
          <w:lang w:val="de-DE"/>
        </w:rPr>
        <w:t>則</w:t>
      </w:r>
      <w:r w:rsidR="00A4425B">
        <w:rPr>
          <w:rFonts w:ascii="標楷體" w:hAnsi="標楷體" w:hint="eastAsia"/>
          <w:sz w:val="28"/>
          <w:szCs w:val="28"/>
          <w:lang w:val="de-DE"/>
        </w:rPr>
        <w:t>表示</w:t>
      </w:r>
      <w:r w:rsidR="00B13270">
        <w:rPr>
          <w:rFonts w:ascii="標楷體" w:hAnsi="標楷體" w:hint="eastAsia"/>
          <w:sz w:val="28"/>
          <w:szCs w:val="28"/>
          <w:lang w:val="de-DE"/>
        </w:rPr>
        <w:t>，</w:t>
      </w:r>
      <w:r w:rsidR="00391784" w:rsidRPr="00391784">
        <w:rPr>
          <w:rFonts w:ascii="標楷體" w:hAnsi="標楷體" w:hint="eastAsia"/>
          <w:sz w:val="28"/>
          <w:szCs w:val="28"/>
        </w:rPr>
        <w:t>行政執行機關</w:t>
      </w:r>
      <w:r w:rsidR="00391784" w:rsidRPr="00391784">
        <w:rPr>
          <w:rFonts w:ascii="標楷體" w:hAnsi="標楷體"/>
          <w:sz w:val="28"/>
          <w:szCs w:val="28"/>
        </w:rPr>
        <w:t>在</w:t>
      </w:r>
      <w:r w:rsidR="00391784" w:rsidRPr="00391784">
        <w:rPr>
          <w:rFonts w:ascii="標楷體" w:hAnsi="標楷體" w:hint="eastAsia"/>
          <w:sz w:val="28"/>
          <w:szCs w:val="28"/>
        </w:rPr>
        <w:t>歷任署長卓越的領導下，</w:t>
      </w:r>
      <w:r w:rsidR="00391784" w:rsidRPr="00391784">
        <w:rPr>
          <w:rFonts w:ascii="標楷體" w:hAnsi="標楷體"/>
          <w:sz w:val="28"/>
          <w:szCs w:val="28"/>
        </w:rPr>
        <w:t>全體同仁齊心協力，屢</w:t>
      </w:r>
      <w:r w:rsidR="00391784" w:rsidRPr="00391784">
        <w:rPr>
          <w:rFonts w:ascii="標楷體" w:hAnsi="標楷體" w:hint="eastAsia"/>
          <w:sz w:val="28"/>
          <w:szCs w:val="28"/>
        </w:rPr>
        <w:t>創</w:t>
      </w:r>
      <w:r w:rsidR="00391784" w:rsidRPr="00391784">
        <w:rPr>
          <w:rFonts w:ascii="標楷體" w:hAnsi="標楷體"/>
          <w:sz w:val="28"/>
          <w:szCs w:val="28"/>
        </w:rPr>
        <w:t>佳績</w:t>
      </w:r>
      <w:r w:rsidR="00391784" w:rsidRPr="00391784">
        <w:rPr>
          <w:rFonts w:ascii="標楷體" w:hAnsi="標楷體" w:hint="eastAsia"/>
          <w:sz w:val="28"/>
          <w:szCs w:val="28"/>
        </w:rPr>
        <w:t>，受到各界一致的好評。自90年成立至今(105年7月)，</w:t>
      </w:r>
      <w:r w:rsidR="00391784" w:rsidRPr="00391784">
        <w:rPr>
          <w:rFonts w:ascii="標楷體" w:hAnsi="標楷體"/>
          <w:sz w:val="28"/>
          <w:szCs w:val="28"/>
        </w:rPr>
        <w:t>僅短短約1</w:t>
      </w:r>
      <w:r w:rsidR="00391784" w:rsidRPr="00391784">
        <w:rPr>
          <w:rFonts w:ascii="標楷體" w:hAnsi="標楷體" w:hint="eastAsia"/>
          <w:sz w:val="28"/>
          <w:szCs w:val="28"/>
        </w:rPr>
        <w:t>5</w:t>
      </w:r>
      <w:r w:rsidR="00391784" w:rsidRPr="00391784">
        <w:rPr>
          <w:rFonts w:ascii="標楷體" w:hAnsi="標楷體"/>
          <w:sz w:val="28"/>
          <w:szCs w:val="28"/>
        </w:rPr>
        <w:t>年半的時間，累計徵起金額</w:t>
      </w:r>
      <w:r w:rsidR="00391784" w:rsidRPr="00391784">
        <w:rPr>
          <w:rFonts w:ascii="標楷體" w:hAnsi="標楷體" w:hint="eastAsia"/>
          <w:sz w:val="28"/>
          <w:szCs w:val="28"/>
        </w:rPr>
        <w:t>已達</w:t>
      </w:r>
      <w:r w:rsidR="00391784" w:rsidRPr="00391784">
        <w:rPr>
          <w:rFonts w:ascii="標楷體" w:hAnsi="標楷體"/>
          <w:sz w:val="28"/>
          <w:szCs w:val="28"/>
        </w:rPr>
        <w:t>4,</w:t>
      </w:r>
      <w:r w:rsidR="00391784" w:rsidRPr="00391784">
        <w:rPr>
          <w:rFonts w:ascii="標楷體" w:hAnsi="標楷體" w:hint="eastAsia"/>
          <w:sz w:val="28"/>
          <w:szCs w:val="28"/>
        </w:rPr>
        <w:t>646</w:t>
      </w:r>
      <w:r w:rsidR="00391784" w:rsidRPr="00391784">
        <w:rPr>
          <w:rFonts w:ascii="標楷體" w:hAnsi="標楷體"/>
          <w:sz w:val="28"/>
          <w:szCs w:val="28"/>
        </w:rPr>
        <w:t>億</w:t>
      </w:r>
      <w:r w:rsidR="00391784" w:rsidRPr="00391784">
        <w:rPr>
          <w:rFonts w:ascii="標楷體" w:hAnsi="標楷體" w:hint="eastAsia"/>
          <w:sz w:val="28"/>
          <w:szCs w:val="28"/>
        </w:rPr>
        <w:t>5</w:t>
      </w:r>
      <w:r w:rsidR="00391784" w:rsidRPr="00391784">
        <w:rPr>
          <w:rFonts w:ascii="標楷體" w:hAnsi="標楷體"/>
          <w:sz w:val="28"/>
          <w:szCs w:val="28"/>
        </w:rPr>
        <w:t>,</w:t>
      </w:r>
      <w:r w:rsidR="00391784" w:rsidRPr="00391784">
        <w:rPr>
          <w:rFonts w:ascii="標楷體" w:hAnsi="標楷體" w:hint="eastAsia"/>
          <w:sz w:val="28"/>
          <w:szCs w:val="28"/>
        </w:rPr>
        <w:t>622</w:t>
      </w:r>
      <w:r w:rsidR="00391784" w:rsidRPr="00391784">
        <w:rPr>
          <w:rFonts w:ascii="標楷體" w:hAnsi="標楷體"/>
          <w:sz w:val="28"/>
          <w:szCs w:val="28"/>
        </w:rPr>
        <w:t>萬</w:t>
      </w:r>
      <w:r w:rsidR="00391784" w:rsidRPr="00391784">
        <w:rPr>
          <w:rFonts w:ascii="標楷體" w:hAnsi="標楷體" w:hint="eastAsia"/>
          <w:sz w:val="28"/>
          <w:szCs w:val="28"/>
        </w:rPr>
        <w:t>1</w:t>
      </w:r>
      <w:r w:rsidR="00391784" w:rsidRPr="00391784">
        <w:rPr>
          <w:rFonts w:ascii="標楷體" w:hAnsi="標楷體"/>
          <w:sz w:val="28"/>
          <w:szCs w:val="28"/>
        </w:rPr>
        <w:t>,</w:t>
      </w:r>
      <w:r w:rsidR="00391784" w:rsidRPr="00391784">
        <w:rPr>
          <w:rFonts w:ascii="標楷體" w:hAnsi="標楷體" w:hint="eastAsia"/>
          <w:sz w:val="28"/>
          <w:szCs w:val="28"/>
        </w:rPr>
        <w:t>903</w:t>
      </w:r>
      <w:r w:rsidR="00391784" w:rsidRPr="00391784">
        <w:rPr>
          <w:rFonts w:ascii="標楷體" w:hAnsi="標楷體"/>
          <w:sz w:val="28"/>
          <w:szCs w:val="28"/>
        </w:rPr>
        <w:t>元</w:t>
      </w:r>
      <w:r w:rsidR="00391784" w:rsidRPr="00391784">
        <w:rPr>
          <w:rFonts w:ascii="標楷體" w:hAnsi="標楷體"/>
          <w:bCs/>
          <w:spacing w:val="6"/>
          <w:sz w:val="28"/>
          <w:szCs w:val="28"/>
        </w:rPr>
        <w:t>，</w:t>
      </w:r>
      <w:r w:rsidR="00391784" w:rsidRPr="00391784">
        <w:rPr>
          <w:rFonts w:ascii="標楷體" w:hAnsi="標楷體" w:hint="eastAsia"/>
          <w:sz w:val="28"/>
          <w:szCs w:val="28"/>
        </w:rPr>
        <w:t>增裕國庫收入，成效卓著</w:t>
      </w:r>
      <w:r w:rsidR="00391784" w:rsidRPr="00391784">
        <w:rPr>
          <w:rFonts w:ascii="標楷體" w:hAnsi="標楷體"/>
          <w:sz w:val="28"/>
          <w:szCs w:val="28"/>
        </w:rPr>
        <w:t>。</w:t>
      </w:r>
      <w:r w:rsidR="00391784" w:rsidRPr="00391784">
        <w:rPr>
          <w:rFonts w:ascii="標楷體" w:hAnsi="標楷體" w:hint="eastAsia"/>
          <w:sz w:val="28"/>
          <w:szCs w:val="28"/>
        </w:rPr>
        <w:t>在亮麗績效的背後，其實代表的是公權力的落實，政府機關維持法律秩序的任務，藉由行政處分要求人民配合，不願配合者，則透過行政執行的強制措施，使公共秩序得以維持，另外行政執行機關更進一步體察到社會弱勢族群的處境，除了寬緩執行准許其分期繳納外，更協助轉介社福機關或有愛心的民間團體，使其可以度過困境，法律不外人性，行政執行機關這些貼近民意的作為，賦與行政執行工作新生命，令世人眼睛為之一亮。</w:t>
      </w:r>
    </w:p>
    <w:p w:rsidR="002E0EED" w:rsidRPr="00AD1E21" w:rsidRDefault="00B222DA" w:rsidP="00AD1E21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D1E21">
        <w:rPr>
          <w:rFonts w:ascii="標楷體" w:eastAsia="標楷體" w:hAnsi="標楷體" w:hint="eastAsia"/>
          <w:sz w:val="28"/>
          <w:szCs w:val="28"/>
        </w:rPr>
        <w:t>最後，</w:t>
      </w:r>
      <w:r w:rsidR="0042685C" w:rsidRPr="00AD1E21">
        <w:rPr>
          <w:rFonts w:ascii="標楷體" w:eastAsia="標楷體" w:hAnsi="標楷體" w:hint="eastAsia"/>
          <w:sz w:val="28"/>
          <w:szCs w:val="28"/>
        </w:rPr>
        <w:t>邱</w:t>
      </w:r>
      <w:r w:rsidR="005A6311" w:rsidRPr="00AD1E21">
        <w:rPr>
          <w:rFonts w:ascii="標楷體" w:eastAsia="標楷體" w:hAnsi="標楷體" w:hint="eastAsia"/>
          <w:sz w:val="28"/>
          <w:szCs w:val="28"/>
        </w:rPr>
        <w:t>部長</w:t>
      </w:r>
      <w:r w:rsidR="00EF7011" w:rsidRPr="00AD1E21">
        <w:rPr>
          <w:rFonts w:ascii="標楷體" w:eastAsia="標楷體" w:hAnsi="標楷體" w:hint="eastAsia"/>
          <w:sz w:val="28"/>
          <w:szCs w:val="28"/>
          <w:lang w:val="de-DE"/>
        </w:rPr>
        <w:t>期勉新任</w:t>
      </w:r>
      <w:r w:rsidR="0042685C" w:rsidRPr="00AD1E21">
        <w:rPr>
          <w:rFonts w:ascii="標楷體" w:eastAsia="標楷體" w:hAnsi="標楷體" w:hint="eastAsia"/>
          <w:sz w:val="28"/>
          <w:szCs w:val="28"/>
          <w:lang w:val="de-DE"/>
        </w:rPr>
        <w:t>署長及</w:t>
      </w:r>
      <w:r w:rsidR="00EF7011" w:rsidRPr="00AD1E21">
        <w:rPr>
          <w:rFonts w:ascii="標楷體" w:eastAsia="標楷體" w:hAnsi="標楷體" w:hint="eastAsia"/>
          <w:sz w:val="28"/>
          <w:szCs w:val="28"/>
          <w:lang w:val="de-DE"/>
        </w:rPr>
        <w:t>分署長將累積</w:t>
      </w:r>
      <w:r w:rsidR="004F15D1" w:rsidRPr="00AD1E21">
        <w:rPr>
          <w:rFonts w:ascii="標楷體" w:eastAsia="標楷體" w:hAnsi="標楷體" w:hint="eastAsia"/>
          <w:sz w:val="28"/>
          <w:szCs w:val="28"/>
          <w:lang w:val="de-DE"/>
        </w:rPr>
        <w:t>的</w:t>
      </w:r>
      <w:r w:rsidR="00EF7011" w:rsidRPr="00AD1E21">
        <w:rPr>
          <w:rFonts w:ascii="標楷體" w:eastAsia="標楷體" w:hAnsi="標楷體" w:hint="eastAsia"/>
          <w:sz w:val="28"/>
          <w:szCs w:val="28"/>
          <w:lang w:val="de-DE"/>
        </w:rPr>
        <w:t>歷練帶到新</w:t>
      </w:r>
      <w:r w:rsidR="004F15D1" w:rsidRPr="00AD1E21">
        <w:rPr>
          <w:rFonts w:ascii="標楷體" w:eastAsia="標楷體" w:hAnsi="標楷體" w:hint="eastAsia"/>
          <w:sz w:val="28"/>
          <w:szCs w:val="28"/>
          <w:lang w:val="de-DE"/>
        </w:rPr>
        <w:t>工作崗位</w:t>
      </w:r>
      <w:r w:rsidR="004674A6" w:rsidRPr="00AD1E21">
        <w:rPr>
          <w:rFonts w:ascii="標楷體" w:eastAsia="標楷體" w:hAnsi="標楷體" w:hint="eastAsia"/>
          <w:sz w:val="28"/>
          <w:szCs w:val="28"/>
          <w:lang w:val="de-DE"/>
        </w:rPr>
        <w:t>，在前人奠定之基礎上，繼續深耕經營，並</w:t>
      </w:r>
      <w:r w:rsidR="00DC2E46" w:rsidRPr="00AD1E21">
        <w:rPr>
          <w:rFonts w:ascii="標楷體" w:eastAsia="標楷體" w:hAnsi="標楷體" w:hint="eastAsia"/>
          <w:sz w:val="28"/>
          <w:szCs w:val="28"/>
        </w:rPr>
        <w:t>期盼</w:t>
      </w:r>
      <w:r w:rsidR="00E71109" w:rsidRPr="00AD1E21">
        <w:rPr>
          <w:rFonts w:ascii="標楷體" w:eastAsia="標楷體" w:hAnsi="標楷體" w:hint="eastAsia"/>
          <w:sz w:val="28"/>
          <w:szCs w:val="28"/>
        </w:rPr>
        <w:t>新任署長及</w:t>
      </w:r>
      <w:r w:rsidR="00DC2E46" w:rsidRPr="00AD1E21">
        <w:rPr>
          <w:rFonts w:ascii="標楷體" w:eastAsia="標楷體" w:hAnsi="標楷體" w:hint="eastAsia"/>
          <w:sz w:val="28"/>
          <w:szCs w:val="28"/>
        </w:rPr>
        <w:t>各位新任</w:t>
      </w:r>
      <w:r w:rsidRPr="00AD1E21">
        <w:rPr>
          <w:rFonts w:ascii="標楷體" w:eastAsia="標楷體" w:hAnsi="標楷體" w:hint="eastAsia"/>
          <w:sz w:val="28"/>
          <w:szCs w:val="28"/>
        </w:rPr>
        <w:t>分署</w:t>
      </w:r>
      <w:r w:rsidR="00DC2E46" w:rsidRPr="00AD1E21">
        <w:rPr>
          <w:rFonts w:ascii="標楷體" w:eastAsia="標楷體" w:hAnsi="標楷體" w:hint="eastAsia"/>
          <w:sz w:val="28"/>
          <w:szCs w:val="28"/>
        </w:rPr>
        <w:t>長與留任現職</w:t>
      </w:r>
      <w:r w:rsidRPr="00AD1E21">
        <w:rPr>
          <w:rFonts w:ascii="標楷體" w:eastAsia="標楷體" w:hAnsi="標楷體" w:hint="eastAsia"/>
          <w:sz w:val="28"/>
          <w:szCs w:val="28"/>
        </w:rPr>
        <w:t>分署</w:t>
      </w:r>
      <w:r w:rsidR="00DC2E46" w:rsidRPr="00AD1E21">
        <w:rPr>
          <w:rFonts w:ascii="標楷體" w:eastAsia="標楷體" w:hAnsi="標楷體" w:hint="eastAsia"/>
          <w:sz w:val="28"/>
          <w:szCs w:val="28"/>
        </w:rPr>
        <w:t>長，</w:t>
      </w:r>
      <w:r w:rsidR="00245F32" w:rsidRPr="00AD1E21">
        <w:rPr>
          <w:rFonts w:ascii="標楷體" w:eastAsia="標楷體" w:hAnsi="標楷體" w:hint="eastAsia"/>
          <w:sz w:val="28"/>
          <w:szCs w:val="28"/>
        </w:rPr>
        <w:t>當面臨新的挑戰與困境紛至沓來，</w:t>
      </w:r>
      <w:r w:rsidR="00536232" w:rsidRPr="00AD1E21">
        <w:rPr>
          <w:rFonts w:ascii="標楷體" w:eastAsia="標楷體" w:hAnsi="標楷體" w:hint="eastAsia"/>
          <w:sz w:val="28"/>
          <w:szCs w:val="28"/>
        </w:rPr>
        <w:t>能以信心與</w:t>
      </w:r>
      <w:r w:rsidR="004F15D1" w:rsidRPr="00AD1E21">
        <w:rPr>
          <w:rFonts w:ascii="標楷體" w:eastAsia="標楷體" w:hAnsi="標楷體" w:hint="eastAsia"/>
          <w:sz w:val="28"/>
          <w:szCs w:val="28"/>
        </w:rPr>
        <w:t>智慧</w:t>
      </w:r>
      <w:r w:rsidR="00536232" w:rsidRPr="00AD1E21">
        <w:rPr>
          <w:rFonts w:ascii="標楷體" w:eastAsia="標楷體" w:hAnsi="標楷體" w:hint="eastAsia"/>
          <w:sz w:val="28"/>
          <w:szCs w:val="28"/>
        </w:rPr>
        <w:t>，</w:t>
      </w:r>
      <w:r w:rsidR="004F15D1" w:rsidRPr="00AD1E21">
        <w:rPr>
          <w:rFonts w:ascii="標楷體" w:eastAsia="標楷體" w:hAnsi="標楷體" w:hint="eastAsia"/>
          <w:sz w:val="28"/>
          <w:szCs w:val="28"/>
        </w:rPr>
        <w:t>積極</w:t>
      </w:r>
      <w:r w:rsidR="00536232" w:rsidRPr="00AD1E21">
        <w:rPr>
          <w:rFonts w:ascii="標楷體" w:eastAsia="標楷體" w:hAnsi="標楷體" w:hint="eastAsia"/>
          <w:sz w:val="28"/>
          <w:szCs w:val="28"/>
        </w:rPr>
        <w:t>面對挑戰，繼往開來，領導同仁推動各項業務</w:t>
      </w:r>
      <w:r w:rsidR="004F15D1" w:rsidRPr="00AD1E21">
        <w:rPr>
          <w:rFonts w:ascii="標楷體" w:eastAsia="標楷體" w:hAnsi="標楷體" w:hint="eastAsia"/>
          <w:sz w:val="28"/>
          <w:szCs w:val="28"/>
        </w:rPr>
        <w:t>，</w:t>
      </w:r>
      <w:r w:rsidR="008948E6" w:rsidRPr="00AD1E21">
        <w:rPr>
          <w:rFonts w:ascii="標楷體" w:eastAsia="標楷體" w:hAnsi="標楷體" w:hint="eastAsia"/>
          <w:sz w:val="28"/>
          <w:szCs w:val="28"/>
        </w:rPr>
        <w:t>排除萬難</w:t>
      </w:r>
      <w:r w:rsidR="00536232" w:rsidRPr="00AD1E21">
        <w:rPr>
          <w:rFonts w:ascii="標楷體" w:eastAsia="標楷體" w:hAnsi="標楷體" w:hint="eastAsia"/>
          <w:sz w:val="28"/>
          <w:szCs w:val="28"/>
        </w:rPr>
        <w:t>，達成實現社會公義</w:t>
      </w:r>
      <w:r w:rsidR="004674A6" w:rsidRPr="00AD1E21">
        <w:rPr>
          <w:rFonts w:ascii="標楷體" w:eastAsia="標楷體" w:hAnsi="標楷體" w:hint="eastAsia"/>
          <w:sz w:val="28"/>
          <w:szCs w:val="28"/>
        </w:rPr>
        <w:t>的</w:t>
      </w:r>
      <w:r w:rsidR="00536232" w:rsidRPr="00AD1E21">
        <w:rPr>
          <w:rFonts w:ascii="標楷體" w:eastAsia="標楷體" w:hAnsi="標楷體" w:hint="eastAsia"/>
          <w:sz w:val="28"/>
          <w:szCs w:val="28"/>
        </w:rPr>
        <w:t>使命</w:t>
      </w:r>
      <w:r w:rsidR="008948E6" w:rsidRPr="00AD1E21">
        <w:rPr>
          <w:rFonts w:ascii="標楷體" w:eastAsia="標楷體" w:hAnsi="標楷體" w:hint="eastAsia"/>
          <w:sz w:val="28"/>
          <w:szCs w:val="28"/>
        </w:rPr>
        <w:t>，邁向嶄新的時代</w:t>
      </w:r>
      <w:r w:rsidR="00CB12B3" w:rsidRPr="00AD1E21">
        <w:rPr>
          <w:rFonts w:ascii="標楷體" w:eastAsia="標楷體" w:hAnsi="標楷體" w:hint="eastAsia"/>
          <w:sz w:val="28"/>
          <w:szCs w:val="28"/>
        </w:rPr>
        <w:t>。</w:t>
      </w:r>
    </w:p>
    <w:p w:rsidR="00A361EF" w:rsidRDefault="002E0EED" w:rsidP="001F0160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val="de-DE"/>
        </w:rPr>
      </w:pPr>
      <w:r>
        <w:rPr>
          <w:rFonts w:ascii="標楷體" w:eastAsia="標楷體" w:hAnsi="標楷體" w:hint="eastAsia"/>
          <w:sz w:val="28"/>
          <w:szCs w:val="28"/>
          <w:lang w:val="de-DE"/>
        </w:rPr>
        <w:t>本次典禮中</w:t>
      </w:r>
      <w:r w:rsidR="00E71109">
        <w:rPr>
          <w:rFonts w:ascii="標楷體" w:eastAsia="標楷體" w:hAnsi="標楷體" w:hint="eastAsia"/>
          <w:sz w:val="28"/>
          <w:szCs w:val="28"/>
          <w:lang w:val="de-DE"/>
        </w:rPr>
        <w:t>計</w:t>
      </w:r>
      <w:r>
        <w:rPr>
          <w:rFonts w:ascii="標楷體" w:eastAsia="標楷體" w:hAnsi="標楷體" w:hint="eastAsia"/>
          <w:sz w:val="28"/>
          <w:szCs w:val="28"/>
          <w:lang w:val="de-DE"/>
        </w:rPr>
        <w:t>有</w:t>
      </w:r>
      <w:r w:rsidR="00E71109">
        <w:rPr>
          <w:rFonts w:ascii="標楷體" w:eastAsia="標楷體" w:hAnsi="標楷體" w:hint="eastAsia"/>
          <w:sz w:val="28"/>
          <w:szCs w:val="28"/>
          <w:lang w:val="de-DE"/>
        </w:rPr>
        <w:t>執行署署長及8</w:t>
      </w:r>
      <w:r>
        <w:rPr>
          <w:rFonts w:ascii="標楷體" w:eastAsia="標楷體" w:hAnsi="標楷體" w:hint="eastAsia"/>
          <w:sz w:val="28"/>
          <w:szCs w:val="28"/>
          <w:lang w:val="de-DE"/>
        </w:rPr>
        <w:t>個分署機關首長異動，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新任署長為朱署長家崎，新任分署長</w:t>
      </w:r>
      <w:r>
        <w:rPr>
          <w:rFonts w:ascii="標楷體" w:eastAsia="標楷體" w:hAnsi="標楷體" w:hint="eastAsia"/>
          <w:sz w:val="28"/>
          <w:szCs w:val="28"/>
          <w:lang w:val="de-DE"/>
        </w:rPr>
        <w:t>分別由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李吉祥</w:t>
      </w:r>
      <w:r>
        <w:rPr>
          <w:rFonts w:ascii="標楷體" w:eastAsia="標楷體" w:hAnsi="標楷體" w:hint="eastAsia"/>
          <w:sz w:val="28"/>
          <w:szCs w:val="28"/>
          <w:lang w:val="de-DE"/>
        </w:rPr>
        <w:t>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新北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分署分署長、劉邦繡任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桃園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分署分署長、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林弘政</w:t>
      </w:r>
      <w:r>
        <w:rPr>
          <w:rFonts w:ascii="標楷體" w:eastAsia="標楷體" w:hAnsi="標楷體" w:hint="eastAsia"/>
          <w:sz w:val="28"/>
          <w:szCs w:val="28"/>
          <w:lang w:val="de-DE"/>
        </w:rPr>
        <w:t>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臺南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分署分署長、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謝道明任嘉義分署分署長、</w:t>
      </w:r>
      <w:r>
        <w:rPr>
          <w:rFonts w:ascii="標楷體" w:eastAsia="標楷體" w:hAnsi="標楷體" w:hint="eastAsia"/>
          <w:sz w:val="28"/>
          <w:szCs w:val="28"/>
          <w:lang w:val="de-DE"/>
        </w:rPr>
        <w:t>蔡興華任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士林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分署分署長、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林佳裕任新竹分署分署長、</w:t>
      </w:r>
      <w:r>
        <w:rPr>
          <w:rFonts w:ascii="標楷體" w:eastAsia="標楷體" w:hAnsi="標楷體" w:hint="eastAsia"/>
          <w:sz w:val="28"/>
          <w:szCs w:val="28"/>
          <w:lang w:val="de-DE"/>
        </w:rPr>
        <w:t>李菀芬任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宜蘭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分署分署長、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張雍制</w:t>
      </w:r>
      <w:r>
        <w:rPr>
          <w:rFonts w:ascii="標楷體" w:eastAsia="標楷體" w:hAnsi="標楷體" w:hint="eastAsia"/>
          <w:sz w:val="28"/>
          <w:szCs w:val="28"/>
          <w:lang w:val="de-DE"/>
        </w:rPr>
        <w:t>任</w:t>
      </w:r>
      <w:r w:rsidR="00A56DBF">
        <w:rPr>
          <w:rFonts w:ascii="標楷體" w:eastAsia="標楷體" w:hAnsi="標楷體" w:hint="eastAsia"/>
          <w:sz w:val="28"/>
          <w:szCs w:val="28"/>
          <w:lang w:val="de-DE"/>
        </w:rPr>
        <w:t>屏東</w:t>
      </w:r>
      <w:r>
        <w:rPr>
          <w:rFonts w:ascii="標楷體" w:eastAsia="標楷體" w:hAnsi="標楷體" w:hint="eastAsia"/>
          <w:sz w:val="28"/>
          <w:szCs w:val="28"/>
          <w:lang w:val="de-DE"/>
        </w:rPr>
        <w:t>分署分署長。</w:t>
      </w:r>
    </w:p>
    <w:p w:rsidR="00D603D7" w:rsidRPr="001F0160" w:rsidRDefault="00D603D7" w:rsidP="00D603D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353695</wp:posOffset>
            </wp:positionV>
            <wp:extent cx="4529455" cy="3014980"/>
            <wp:effectExtent l="19050" t="0" r="4445" b="0"/>
            <wp:wrapTight wrapText="bothSides">
              <wp:wrapPolygon edited="0">
                <wp:start x="-91" y="0"/>
                <wp:lineTo x="-91" y="21427"/>
                <wp:lineTo x="21621" y="21427"/>
                <wp:lineTo x="21621" y="0"/>
                <wp:lineTo x="-91" y="0"/>
              </wp:wrapPolygon>
            </wp:wrapTight>
            <wp:docPr id="2" name="圖片 2" descr="Z:\【秘書室】\黃秀鈴\1050901交接典禮照片●●●\IMG_6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【秘書室】\黃秀鈴\1050901交接典禮照片●●●\IMG_6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03D7" w:rsidRPr="001F0160" w:rsidSect="0022355C">
      <w:footerReference w:type="default" r:id="rId10"/>
      <w:pgSz w:w="11906" w:h="16838"/>
      <w:pgMar w:top="1361" w:right="1797" w:bottom="851" w:left="1797" w:header="851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A5" w:rsidRDefault="00F45FA5">
      <w:r>
        <w:separator/>
      </w:r>
    </w:p>
  </w:endnote>
  <w:endnote w:type="continuationSeparator" w:id="0">
    <w:p w:rsidR="00F45FA5" w:rsidRDefault="00F4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E7" w:rsidRDefault="00A70AE7">
    <w:pPr>
      <w:pStyle w:val="a7"/>
      <w:jc w:val="right"/>
      <w:rPr>
        <w:noProof/>
      </w:rPr>
    </w:pPr>
  </w:p>
  <w:p w:rsidR="00A70AE7" w:rsidRDefault="00A70AE7">
    <w:pPr>
      <w:pStyle w:val="a7"/>
      <w:jc w:val="center"/>
    </w:pPr>
    <w:r>
      <w:rPr>
        <w:rFonts w:hint="eastAsia"/>
      </w:rPr>
      <w:t>第</w:t>
    </w:r>
    <w:r w:rsidR="004F6EFD">
      <w:rPr>
        <w:rStyle w:val="a8"/>
      </w:rPr>
      <w:fldChar w:fldCharType="begin"/>
    </w:r>
    <w:r>
      <w:rPr>
        <w:rStyle w:val="a8"/>
      </w:rPr>
      <w:instrText xml:space="preserve"> PAGE </w:instrText>
    </w:r>
    <w:r w:rsidR="004F6EFD">
      <w:rPr>
        <w:rStyle w:val="a8"/>
      </w:rPr>
      <w:fldChar w:fldCharType="separate"/>
    </w:r>
    <w:r w:rsidR="009F6B5E">
      <w:rPr>
        <w:rStyle w:val="a8"/>
        <w:noProof/>
      </w:rPr>
      <w:t>1</w:t>
    </w:r>
    <w:r w:rsidR="004F6EFD">
      <w:rPr>
        <w:rStyle w:val="a8"/>
      </w:rPr>
      <w:fldChar w:fldCharType="end"/>
    </w:r>
    <w:r>
      <w:rPr>
        <w:rStyle w:val="a8"/>
        <w:rFonts w:hint="eastAsia"/>
      </w:rPr>
      <w:t>頁，共</w:t>
    </w:r>
    <w:r w:rsidR="004F6EFD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4F6EFD">
      <w:rPr>
        <w:rStyle w:val="a8"/>
      </w:rPr>
      <w:fldChar w:fldCharType="separate"/>
    </w:r>
    <w:r w:rsidR="009F6B5E">
      <w:rPr>
        <w:rStyle w:val="a8"/>
        <w:noProof/>
      </w:rPr>
      <w:t>2</w:t>
    </w:r>
    <w:r w:rsidR="004F6EFD"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A5" w:rsidRDefault="00F45FA5">
      <w:r>
        <w:separator/>
      </w:r>
    </w:p>
  </w:footnote>
  <w:footnote w:type="continuationSeparator" w:id="0">
    <w:p w:rsidR="00F45FA5" w:rsidRDefault="00F45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EE"/>
    <w:rsid w:val="00011341"/>
    <w:rsid w:val="00012675"/>
    <w:rsid w:val="00013EF4"/>
    <w:rsid w:val="0002000F"/>
    <w:rsid w:val="00055E13"/>
    <w:rsid w:val="00080B9F"/>
    <w:rsid w:val="000B311D"/>
    <w:rsid w:val="000B3B67"/>
    <w:rsid w:val="000C7762"/>
    <w:rsid w:val="000D0411"/>
    <w:rsid w:val="000F1836"/>
    <w:rsid w:val="00124AF1"/>
    <w:rsid w:val="00125B34"/>
    <w:rsid w:val="0013333D"/>
    <w:rsid w:val="00152C08"/>
    <w:rsid w:val="00152EDA"/>
    <w:rsid w:val="0017089F"/>
    <w:rsid w:val="00171FD8"/>
    <w:rsid w:val="00180440"/>
    <w:rsid w:val="001961E9"/>
    <w:rsid w:val="001B184F"/>
    <w:rsid w:val="001E22E4"/>
    <w:rsid w:val="001E2840"/>
    <w:rsid w:val="001E656D"/>
    <w:rsid w:val="001F0160"/>
    <w:rsid w:val="00201D3A"/>
    <w:rsid w:val="00213487"/>
    <w:rsid w:val="00215B4D"/>
    <w:rsid w:val="0022355C"/>
    <w:rsid w:val="002256B4"/>
    <w:rsid w:val="00245F32"/>
    <w:rsid w:val="00265B4D"/>
    <w:rsid w:val="00274448"/>
    <w:rsid w:val="002930B3"/>
    <w:rsid w:val="002A6383"/>
    <w:rsid w:val="002B0A57"/>
    <w:rsid w:val="002B126C"/>
    <w:rsid w:val="002C4DDB"/>
    <w:rsid w:val="002D3849"/>
    <w:rsid w:val="002D6C66"/>
    <w:rsid w:val="002E0EED"/>
    <w:rsid w:val="002E7B50"/>
    <w:rsid w:val="00301E9C"/>
    <w:rsid w:val="00305A13"/>
    <w:rsid w:val="00323421"/>
    <w:rsid w:val="003468D1"/>
    <w:rsid w:val="003721B1"/>
    <w:rsid w:val="00387C48"/>
    <w:rsid w:val="00391784"/>
    <w:rsid w:val="003B69FA"/>
    <w:rsid w:val="003C6C76"/>
    <w:rsid w:val="003D0AD5"/>
    <w:rsid w:val="003D2E95"/>
    <w:rsid w:val="004029D4"/>
    <w:rsid w:val="004105C8"/>
    <w:rsid w:val="004122BE"/>
    <w:rsid w:val="00415D17"/>
    <w:rsid w:val="00420F1F"/>
    <w:rsid w:val="00424CF6"/>
    <w:rsid w:val="00425F46"/>
    <w:rsid w:val="0042685C"/>
    <w:rsid w:val="00426EA0"/>
    <w:rsid w:val="00441B30"/>
    <w:rsid w:val="004625B6"/>
    <w:rsid w:val="004674A6"/>
    <w:rsid w:val="00481EE3"/>
    <w:rsid w:val="0049688F"/>
    <w:rsid w:val="004B0F5F"/>
    <w:rsid w:val="004B4269"/>
    <w:rsid w:val="004F15D1"/>
    <w:rsid w:val="004F6EFD"/>
    <w:rsid w:val="00506000"/>
    <w:rsid w:val="00511133"/>
    <w:rsid w:val="005147A4"/>
    <w:rsid w:val="005305C3"/>
    <w:rsid w:val="00536232"/>
    <w:rsid w:val="00546832"/>
    <w:rsid w:val="005513D2"/>
    <w:rsid w:val="005517F0"/>
    <w:rsid w:val="00567EE1"/>
    <w:rsid w:val="005832C8"/>
    <w:rsid w:val="0059064B"/>
    <w:rsid w:val="005A6311"/>
    <w:rsid w:val="005B2858"/>
    <w:rsid w:val="005B4102"/>
    <w:rsid w:val="005B7072"/>
    <w:rsid w:val="005C0E4A"/>
    <w:rsid w:val="005F13E3"/>
    <w:rsid w:val="005F4895"/>
    <w:rsid w:val="006057F5"/>
    <w:rsid w:val="006106BC"/>
    <w:rsid w:val="00656D74"/>
    <w:rsid w:val="00663C48"/>
    <w:rsid w:val="00667878"/>
    <w:rsid w:val="00671A09"/>
    <w:rsid w:val="0068038C"/>
    <w:rsid w:val="0068128F"/>
    <w:rsid w:val="006827E9"/>
    <w:rsid w:val="00684263"/>
    <w:rsid w:val="00696602"/>
    <w:rsid w:val="006B486A"/>
    <w:rsid w:val="006C1CF2"/>
    <w:rsid w:val="006F15E0"/>
    <w:rsid w:val="006F2BC6"/>
    <w:rsid w:val="006F52F2"/>
    <w:rsid w:val="007024B1"/>
    <w:rsid w:val="0070653A"/>
    <w:rsid w:val="00712410"/>
    <w:rsid w:val="00730AE7"/>
    <w:rsid w:val="0074381A"/>
    <w:rsid w:val="00760A51"/>
    <w:rsid w:val="00765014"/>
    <w:rsid w:val="00777404"/>
    <w:rsid w:val="00785395"/>
    <w:rsid w:val="00791A6F"/>
    <w:rsid w:val="00793167"/>
    <w:rsid w:val="00794B18"/>
    <w:rsid w:val="007A1514"/>
    <w:rsid w:val="007C17C0"/>
    <w:rsid w:val="007C2055"/>
    <w:rsid w:val="007C25A5"/>
    <w:rsid w:val="007C58EF"/>
    <w:rsid w:val="007D130A"/>
    <w:rsid w:val="007F0645"/>
    <w:rsid w:val="007F4050"/>
    <w:rsid w:val="00801865"/>
    <w:rsid w:val="00803FBB"/>
    <w:rsid w:val="00814FDB"/>
    <w:rsid w:val="00824D5D"/>
    <w:rsid w:val="00827634"/>
    <w:rsid w:val="008423CD"/>
    <w:rsid w:val="008465E3"/>
    <w:rsid w:val="00875270"/>
    <w:rsid w:val="0087746C"/>
    <w:rsid w:val="00881419"/>
    <w:rsid w:val="00885B2F"/>
    <w:rsid w:val="008948E6"/>
    <w:rsid w:val="00897BDC"/>
    <w:rsid w:val="008A11E0"/>
    <w:rsid w:val="008C07E2"/>
    <w:rsid w:val="008C3494"/>
    <w:rsid w:val="008D0463"/>
    <w:rsid w:val="008F2E11"/>
    <w:rsid w:val="008F34C2"/>
    <w:rsid w:val="009013C2"/>
    <w:rsid w:val="0090171D"/>
    <w:rsid w:val="00901B6C"/>
    <w:rsid w:val="00910373"/>
    <w:rsid w:val="009106EC"/>
    <w:rsid w:val="00911148"/>
    <w:rsid w:val="00920A14"/>
    <w:rsid w:val="00930A38"/>
    <w:rsid w:val="00933116"/>
    <w:rsid w:val="00934F49"/>
    <w:rsid w:val="009356E8"/>
    <w:rsid w:val="00943BFC"/>
    <w:rsid w:val="00953578"/>
    <w:rsid w:val="00961449"/>
    <w:rsid w:val="00966405"/>
    <w:rsid w:val="00985AB7"/>
    <w:rsid w:val="00993C75"/>
    <w:rsid w:val="00994CF4"/>
    <w:rsid w:val="00994F8B"/>
    <w:rsid w:val="00996A6B"/>
    <w:rsid w:val="009A420D"/>
    <w:rsid w:val="009C62E6"/>
    <w:rsid w:val="009C71B0"/>
    <w:rsid w:val="009E3D6F"/>
    <w:rsid w:val="009F2159"/>
    <w:rsid w:val="009F6B5E"/>
    <w:rsid w:val="00A03497"/>
    <w:rsid w:val="00A039C1"/>
    <w:rsid w:val="00A361EF"/>
    <w:rsid w:val="00A4425B"/>
    <w:rsid w:val="00A4771E"/>
    <w:rsid w:val="00A50ACC"/>
    <w:rsid w:val="00A56DBF"/>
    <w:rsid w:val="00A6346A"/>
    <w:rsid w:val="00A661D0"/>
    <w:rsid w:val="00A70AE7"/>
    <w:rsid w:val="00A81F7B"/>
    <w:rsid w:val="00A97195"/>
    <w:rsid w:val="00A97672"/>
    <w:rsid w:val="00AB2592"/>
    <w:rsid w:val="00AD1E21"/>
    <w:rsid w:val="00AD3A0F"/>
    <w:rsid w:val="00B13270"/>
    <w:rsid w:val="00B222DA"/>
    <w:rsid w:val="00B46686"/>
    <w:rsid w:val="00B63252"/>
    <w:rsid w:val="00B635CA"/>
    <w:rsid w:val="00B74C05"/>
    <w:rsid w:val="00B935A7"/>
    <w:rsid w:val="00B97CAC"/>
    <w:rsid w:val="00BA7725"/>
    <w:rsid w:val="00BA7ECC"/>
    <w:rsid w:val="00BC47EC"/>
    <w:rsid w:val="00BC4FEE"/>
    <w:rsid w:val="00BD5E96"/>
    <w:rsid w:val="00BD63A6"/>
    <w:rsid w:val="00BE1575"/>
    <w:rsid w:val="00C0330C"/>
    <w:rsid w:val="00C14239"/>
    <w:rsid w:val="00C22028"/>
    <w:rsid w:val="00C4677B"/>
    <w:rsid w:val="00C47120"/>
    <w:rsid w:val="00C61362"/>
    <w:rsid w:val="00C87EEE"/>
    <w:rsid w:val="00CB12B3"/>
    <w:rsid w:val="00CC4712"/>
    <w:rsid w:val="00D0092B"/>
    <w:rsid w:val="00D32883"/>
    <w:rsid w:val="00D40453"/>
    <w:rsid w:val="00D54B3B"/>
    <w:rsid w:val="00D60303"/>
    <w:rsid w:val="00D603D7"/>
    <w:rsid w:val="00D60F6F"/>
    <w:rsid w:val="00D65CFA"/>
    <w:rsid w:val="00DB4E0B"/>
    <w:rsid w:val="00DB5CE8"/>
    <w:rsid w:val="00DB7654"/>
    <w:rsid w:val="00DC2E46"/>
    <w:rsid w:val="00DC48E0"/>
    <w:rsid w:val="00DC7AF5"/>
    <w:rsid w:val="00DD3574"/>
    <w:rsid w:val="00E12FEC"/>
    <w:rsid w:val="00E210B1"/>
    <w:rsid w:val="00E31DD8"/>
    <w:rsid w:val="00E355CD"/>
    <w:rsid w:val="00E35B2D"/>
    <w:rsid w:val="00E43652"/>
    <w:rsid w:val="00E579F3"/>
    <w:rsid w:val="00E71109"/>
    <w:rsid w:val="00E80B3E"/>
    <w:rsid w:val="00E85E09"/>
    <w:rsid w:val="00E90478"/>
    <w:rsid w:val="00EA1005"/>
    <w:rsid w:val="00EA4FB8"/>
    <w:rsid w:val="00EA700A"/>
    <w:rsid w:val="00ED50F2"/>
    <w:rsid w:val="00EE3C4D"/>
    <w:rsid w:val="00EF7011"/>
    <w:rsid w:val="00F04443"/>
    <w:rsid w:val="00F31251"/>
    <w:rsid w:val="00F314CD"/>
    <w:rsid w:val="00F37BFB"/>
    <w:rsid w:val="00F45FA5"/>
    <w:rsid w:val="00F515BB"/>
    <w:rsid w:val="00F60525"/>
    <w:rsid w:val="00F65B39"/>
    <w:rsid w:val="00F71815"/>
    <w:rsid w:val="00F74CC4"/>
    <w:rsid w:val="00F97E9F"/>
    <w:rsid w:val="00FB236E"/>
    <w:rsid w:val="00FD3C11"/>
    <w:rsid w:val="00F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355C"/>
    <w:rPr>
      <w:rFonts w:eastAsia="標楷體"/>
      <w:sz w:val="32"/>
    </w:rPr>
  </w:style>
  <w:style w:type="paragraph" w:styleId="a4">
    <w:name w:val="Body Text Indent"/>
    <w:basedOn w:val="a"/>
    <w:rsid w:val="0022355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2355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2355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2355C"/>
    <w:rPr>
      <w:rFonts w:ascii="Arial" w:hAnsi="Arial"/>
      <w:sz w:val="18"/>
      <w:szCs w:val="18"/>
    </w:rPr>
  </w:style>
  <w:style w:type="paragraph" w:styleId="a6">
    <w:name w:val="header"/>
    <w:basedOn w:val="a"/>
    <w:rsid w:val="00223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23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2355C"/>
  </w:style>
  <w:style w:type="paragraph" w:styleId="Web">
    <w:name w:val="Normal (Web)"/>
    <w:basedOn w:val="a"/>
    <w:rsid w:val="0022355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character" w:styleId="a9">
    <w:name w:val="Hyperlink"/>
    <w:basedOn w:val="a0"/>
    <w:rsid w:val="00C47120"/>
    <w:rPr>
      <w:color w:val="0000FF"/>
      <w:u w:val="single"/>
    </w:rPr>
  </w:style>
  <w:style w:type="character" w:styleId="aa">
    <w:name w:val="FollowedHyperlink"/>
    <w:basedOn w:val="a0"/>
    <w:rsid w:val="00DC2E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BC48-63A0-40C4-90A2-43A0BF7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1161</Characters>
  <Application>Microsoft Office Word</Application>
  <DocSecurity>0</DocSecurity>
  <Lines>9</Lines>
  <Paragraphs>2</Paragraphs>
  <ScaleCrop>false</ScaleCrop>
  <Company>no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t</cp:lastModifiedBy>
  <cp:revision>6</cp:revision>
  <cp:lastPrinted>2016-09-01T10:45:00Z</cp:lastPrinted>
  <dcterms:created xsi:type="dcterms:W3CDTF">2016-09-01T11:59:00Z</dcterms:created>
  <dcterms:modified xsi:type="dcterms:W3CDTF">2016-09-01T12:11:00Z</dcterms:modified>
</cp:coreProperties>
</file>