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DB" w:rsidRDefault="007608DB" w:rsidP="007608DB">
      <w:pPr>
        <w:jc w:val="center"/>
      </w:pPr>
      <w:r>
        <w:rPr>
          <w:rFonts w:ascii="標楷體" w:eastAsia="標楷體" w:hAnsi="標楷體" w:hint="eastAsia"/>
          <w:b/>
          <w:bCs/>
          <w:spacing w:val="-4"/>
          <w:sz w:val="32"/>
          <w:szCs w:val="32"/>
        </w:rPr>
        <w:t>各年度行政執行業務相關問題研究報告目錄</w:t>
      </w:r>
    </w:p>
    <w:tbl>
      <w:tblPr>
        <w:tblW w:w="5000" w:type="pct"/>
        <w:tblCellSpacing w:w="15" w:type="dxa"/>
        <w:tblCellMar>
          <w:top w:w="15" w:type="dxa"/>
          <w:left w:w="15" w:type="dxa"/>
          <w:bottom w:w="15" w:type="dxa"/>
          <w:right w:w="15" w:type="dxa"/>
        </w:tblCellMar>
        <w:tblLook w:val="04A0"/>
      </w:tblPr>
      <w:tblGrid>
        <w:gridCol w:w="8396"/>
      </w:tblGrid>
      <w:tr w:rsidR="007608DB" w:rsidTr="007608DB">
        <w:trPr>
          <w:tblCellSpacing w:w="15" w:type="dxa"/>
        </w:trPr>
        <w:tc>
          <w:tcPr>
            <w:tcW w:w="4964" w:type="pct"/>
            <w:vAlign w:val="center"/>
            <w:hideMark/>
          </w:tcPr>
          <w:p w:rsidR="007608DB" w:rsidRDefault="007608DB">
            <w:pPr>
              <w:spacing w:before="100" w:beforeAutospacing="1" w:after="100" w:afterAutospacing="1"/>
              <w:jc w:val="center"/>
            </w:pPr>
            <w:r>
              <w:rPr>
                <w:rFonts w:ascii="標楷體" w:eastAsia="標楷體" w:hint="eastAsia"/>
                <w:b/>
                <w:bCs/>
                <w:spacing w:val="-4"/>
                <w:sz w:val="32"/>
              </w:rPr>
              <w:t xml:space="preserve">92年度行政執行業務相關問題研究報告目錄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24"/>
              <w:gridCol w:w="3726"/>
              <w:gridCol w:w="805"/>
              <w:gridCol w:w="2132"/>
              <w:gridCol w:w="1109"/>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試論我國行政執行法之拘提管收</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法令月刊第53卷第12期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獲選第1名 </w:t>
                  </w:r>
                </w:p>
              </w:tc>
            </w:tr>
            <w:tr w:rsidR="007608DB">
              <w:trPr>
                <w:trHeight w:val="115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 xml:space="preserve">論行政執行處得否以電子方式傳送扣押命令至金融機構及此傳送是否生送達效力－電子簽章法施行前、後之比較研究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陳品秀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92.10.31都會時報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szCs w:val="28"/>
                    </w:rPr>
                    <w:t>營業人之營業稅留抵稅額可否為強制執行標的之研討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楊思誠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92.9.1及92.11.1宜稅雙月刊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獲選第3名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稅務強制執行專責機關－談行政執行處之角色定位</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陳文生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稅務旬刊-第1874期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獲選第4名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稅務案件於行政執行上送達之研究</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李俊慶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稅務旬刊-第1870期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獲選第5名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從夫妻合併申報計稅談行政執行之落實</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王姝雯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92.11警光雜誌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7</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szCs w:val="28"/>
                    </w:rPr>
                    <w:t>贈與稅行政執行之風險管理</w:t>
                  </w:r>
                  <w:r>
                    <w:rPr>
                      <w:rFonts w:ascii="標楷體" w:eastAsia="標楷體" w:hint="eastAsia"/>
                      <w:szCs w:val="28"/>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王惠慧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稅務旬刊-第1869期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8</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執行命令實務問題之剖析</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江佳蓉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屏東縣稅捐稽徵處92年「屏稅季刊」之第4及5期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9</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行政執行撤回之探討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李元康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92.11.20財稅人員訓練所「財稅園地」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10</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醫療院所負責醫師之稅捐責任</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李幼琳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「醫事法學」第11卷第2期第29號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11</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rPr>
                    <w:t>論行政執行程序－以警察機關執行清除道路交通障礙之攤販工作為例</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黃尚仁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92.10.22稅務日報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jc w:val="center"/>
            </w:pPr>
            <w:r>
              <w:t xml:space="preserve">　</w:t>
            </w:r>
            <w:r>
              <w:t xml:space="preserve"> </w:t>
            </w:r>
          </w:p>
          <w:p w:rsidR="007608DB" w:rsidRDefault="007608DB">
            <w:pPr>
              <w:spacing w:before="100" w:beforeAutospacing="1" w:after="100" w:afterAutospacing="1"/>
              <w:jc w:val="center"/>
            </w:pPr>
            <w:r>
              <w:rPr>
                <w:kern w:val="2"/>
              </w:rPr>
              <w:lastRenderedPageBreak/>
              <w:br w:type="page"/>
            </w:r>
            <w:r>
              <w:rPr>
                <w:rFonts w:ascii="標楷體" w:eastAsia="標楷體" w:hint="eastAsia"/>
                <w:b/>
                <w:bCs/>
                <w:spacing w:val="-4"/>
                <w:sz w:val="32"/>
              </w:rPr>
              <w:t xml:space="preserve">93年度行政執行業務相關問題研究報告目錄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03"/>
              <w:gridCol w:w="3738"/>
              <w:gridCol w:w="807"/>
              <w:gridCol w:w="2136"/>
              <w:gridCol w:w="1112"/>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01"/>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eastAsia="標楷體" w:hint="eastAsia"/>
                    </w:rPr>
                    <w:t>行政執行法上徵收執行費用之立法政策評析</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月旦法學雜誌-第114期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ascii="標楷體" w:eastAsia="標楷體" w:hint="eastAsia"/>
                    </w:rPr>
                    <w:t>淺談公法上金錢給付義務與限制出境</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李菀芬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稅務旬刊-第1908期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 xml:space="preserve">獲選第2名 </w:t>
                  </w:r>
                </w:p>
              </w:tc>
            </w:tr>
            <w:tr w:rsidR="007608DB">
              <w:trPr>
                <w:trHeight w:val="87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ascii="標楷體" w:eastAsia="標楷體" w:hint="eastAsia"/>
                    </w:rPr>
                    <w:t>論行政執行處涉及公權力行使之業務宜否委託民間團體或個人辦理</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陳品秀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稅務旬刊-第1911期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 xml:space="preserve">獲選第3名 </w:t>
                  </w:r>
                </w:p>
              </w:tc>
            </w:tr>
            <w:tr w:rsidR="007608DB">
              <w:trPr>
                <w:trHeight w:val="129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ascii="標楷體" w:eastAsia="標楷體" w:hint="eastAsia"/>
                      <w:color w:val="000000"/>
                    </w:rPr>
                    <w:t>原課稅之行政處分經訴願決定（或行政訴訟）撤銷另為處分時可否為停止執行事由之探討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楊思誠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93.8.10螺訊第17期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獲選第4名</w:t>
                  </w:r>
                </w:p>
              </w:tc>
            </w:tr>
            <w:tr w:rsidR="007608DB">
              <w:trPr>
                <w:trHeight w:val="159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ascii="標楷體" w:eastAsia="標楷體" w:hint="eastAsia"/>
                    </w:rPr>
                    <w:t>論稅捐稽徵機關就執行機關拍賣義務人之財產應課營業稅聲明參與分配－從財政部訂頒「法院及海關拍賣或變賣貨物課徵營業稅作業要點」談起</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周隆光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中律會訊雜誌第七卷第二期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獲選第5名</w:t>
                  </w:r>
                </w:p>
              </w:tc>
            </w:tr>
            <w:tr w:rsidR="007608DB">
              <w:trPr>
                <w:trHeight w:val="93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t> </w:t>
                  </w:r>
                  <w:r>
                    <w:rPr>
                      <w:rFonts w:ascii="標楷體" w:eastAsia="標楷體" w:hint="eastAsia"/>
                      <w:sz w:val="32"/>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sidRPr="007608DB">
                    <w:rPr>
                      <w:rFonts w:ascii="標楷體" w:eastAsia="標楷體" w:hAnsi="標楷體" w:hint="eastAsia"/>
                      <w:szCs w:val="36"/>
                    </w:rPr>
                    <w:t>論稅務案件限制出境</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黃尚仁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93.10.28稅務日報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spacing w:before="100" w:beforeAutospacing="1" w:after="100" w:afterAutospacing="1"/>
              <w:jc w:val="center"/>
            </w:pPr>
            <w:r>
              <w:t xml:space="preserve">  </w:t>
            </w:r>
          </w:p>
          <w:p w:rsidR="007608DB" w:rsidRDefault="007608DB">
            <w:pPr>
              <w:jc w:val="center"/>
              <w:rPr>
                <w:rFonts w:hint="eastAsia"/>
              </w:rPr>
            </w:pPr>
            <w:r>
              <w:t xml:space="preserve">　</w:t>
            </w:r>
            <w:r>
              <w:t xml:space="preserve"> </w:t>
            </w: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rPr>
                <w:rFonts w:hint="eastAsia"/>
              </w:rPr>
            </w:pPr>
          </w:p>
          <w:p w:rsidR="007608DB" w:rsidRDefault="007608DB">
            <w:pPr>
              <w:jc w:val="center"/>
            </w:pPr>
          </w:p>
          <w:p w:rsidR="007608DB" w:rsidRDefault="007608DB">
            <w:pPr>
              <w:spacing w:before="100" w:beforeAutospacing="1" w:after="100" w:afterAutospacing="1"/>
              <w:jc w:val="center"/>
            </w:pPr>
            <w:r>
              <w:rPr>
                <w:rFonts w:ascii="標楷體" w:eastAsia="標楷體" w:hint="eastAsia"/>
                <w:b/>
                <w:bCs/>
                <w:spacing w:val="-4"/>
                <w:sz w:val="32"/>
              </w:rPr>
              <w:lastRenderedPageBreak/>
              <w:t xml:space="preserve">94年度行政執行業務相關問題研究報告目錄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16"/>
              <w:gridCol w:w="3770"/>
              <w:gridCol w:w="812"/>
              <w:gridCol w:w="2078"/>
              <w:gridCol w:w="1120"/>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執行力主觀範圍之擴張與其救濟程序—以合夥事業欠繳稅款之行政執行為例—</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童永全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「司法新趨勢」第21期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獲選第1名 </w:t>
                  </w:r>
                </w:p>
              </w:tc>
            </w:tr>
            <w:tr w:rsidR="007608DB">
              <w:trPr>
                <w:trHeight w:val="104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公司重整時債權實現之研究－以租稅債權為例</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簡祥紋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法令月刊第56卷第11期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獲選第1名 </w:t>
                  </w:r>
                </w:p>
              </w:tc>
            </w:tr>
            <w:tr w:rsidR="007608DB">
              <w:trPr>
                <w:trHeight w:val="107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論行政執行程序聲明異議應有之救濟程序─從大法官解釋有關訴訟權保障觀點探討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「東吳法律學報」第16卷第3期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獲選第3名 </w:t>
                  </w:r>
                </w:p>
              </w:tc>
            </w:tr>
            <w:tr w:rsidR="007608DB">
              <w:trPr>
                <w:trHeight w:val="87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稅捐稽徵法第23條徵收期間計算之研討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楊思誠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稅務旬刊-第1941期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獲選第4名</w:t>
                  </w:r>
                </w:p>
              </w:tc>
            </w:tr>
            <w:tr w:rsidR="007608DB">
              <w:trPr>
                <w:trHeight w:val="89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談稅捐及工程受益費之請求權時效</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賴淑櫻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稅務旬刊-第1916期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rPr>
                    <w:t>獲選第5名</w:t>
                  </w:r>
                </w:p>
              </w:tc>
            </w:tr>
            <w:tr w:rsidR="007608DB">
              <w:trPr>
                <w:trHeight w:val="93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四則行政執行法拘提管收裁定之研究</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姚其聖</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軍法專刊第51卷第5期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評定為優良 </w:t>
                  </w:r>
                </w:p>
              </w:tc>
            </w:tr>
            <w:tr w:rsidR="007608DB">
              <w:trPr>
                <w:trHeight w:val="95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7</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行政執行法修正意見－總則及公法上金錢給付義務部分</w:t>
                  </w:r>
                  <w:r>
                    <w:rPr>
                      <w:rFonts w:ascii="標楷體" w:eastAsia="標楷體" w:hint="eastAsia"/>
                      <w:szCs w:val="28"/>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姚其聖</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法務通訊第2217期至第2220期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評定為優良 </w:t>
                  </w:r>
                </w:p>
              </w:tc>
            </w:tr>
            <w:tr w:rsidR="007608DB">
              <w:trPr>
                <w:trHeight w:val="1021"/>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8</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公法上金錢給付義務之擔保人責任問題探討</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林俊旭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稅務旬刊-第1945期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83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9</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公法上金錢給付義務執行之救濟</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林靜怡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冬季版「檔案與微縮」第75期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44"/>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10</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行政執行事件之強制處分—新修正行政執行法第17條及第19條淺析</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94年全國律師8月號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109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11</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rPr>
                    <w:t>薪津債權之執行</w:t>
                  </w:r>
                  <w:r w:rsidRPr="007608DB">
                    <w:rPr>
                      <w:rFonts w:ascii="標楷體" w:eastAsia="標楷體" w:hAnsi="標楷體" w:hint="eastAsia"/>
                      <w:szCs w:val="28"/>
                    </w:rPr>
                    <w:t>－以核發移轉命令所生之實務問題為檢討中心－</w:t>
                  </w:r>
                  <w:r>
                    <w:rPr>
                      <w:rFonts w:ascii="標楷體" w:eastAsia="標楷體" w:hint="eastAsia"/>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簡聖潔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稅務旬刊-第1950期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spacing w:before="100" w:beforeAutospacing="1" w:after="100" w:afterAutospacing="1"/>
              <w:jc w:val="center"/>
            </w:pPr>
            <w:r>
              <w:t> </w:t>
            </w:r>
          </w:p>
          <w:p w:rsidR="007608DB" w:rsidRDefault="007608DB">
            <w:pPr>
              <w:spacing w:before="100" w:beforeAutospacing="1" w:after="100" w:afterAutospacing="1"/>
              <w:jc w:val="center"/>
            </w:pPr>
            <w:r>
              <w:rPr>
                <w:rFonts w:ascii="標楷體" w:eastAsia="標楷體" w:hint="eastAsia"/>
                <w:b/>
                <w:bCs/>
                <w:spacing w:val="-4"/>
                <w:sz w:val="32"/>
              </w:rPr>
              <w:lastRenderedPageBreak/>
              <w:t xml:space="preserve">95年度行政執行業務相關問題研究報告目錄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24"/>
              <w:gridCol w:w="3765"/>
              <w:gridCol w:w="812"/>
              <w:gridCol w:w="2076"/>
              <w:gridCol w:w="1119"/>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eastAsia="標楷體" w:hint="eastAsia"/>
                      <w:color w:val="000000"/>
                      <w:u w:val="single"/>
                    </w:rPr>
                    <w:t>釋字第五八八號解釋及相關修正條文之評析</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刊登於95年2月出版之「月旦法學」129期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eastAsia="標楷體" w:hint="eastAsia"/>
                      <w:u w:val="single"/>
                    </w:rPr>
                    <w:t>債務人公同共有財產的強制執行</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張雍制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刊登於95年3月出版「法令月刊</w:t>
                  </w:r>
                  <w:r>
                    <w:rPr>
                      <w:rFonts w:ascii="標楷體" w:eastAsia="標楷體" w:hAnsi="標楷體" w:hint="eastAsia"/>
                      <w:szCs w:val="28"/>
                    </w:rPr>
                    <w:t>」第57卷第3期</w:t>
                  </w:r>
                  <w:r>
                    <w:rPr>
                      <w:rFonts w:ascii="標楷體" w:eastAsia="標楷體"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u w:val="single"/>
                    </w:rPr>
                    <w:t>稅捐文書送達方式之探討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蔡基文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刊登於95年11月出版「稅務旬刊」第1985期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獲選第3名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移送案件浮濫斵傷國家威信</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賴淑櫻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刊登於95年10月出版「稅務旬刊」第1981期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獲選第4名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cs="細明體" w:hint="eastAsia"/>
                      <w:u w:val="single"/>
                    </w:rPr>
                    <w:t>薪資所得應減除必要費用</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刊登於95年10月出版「稅務旬刊」第1982期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獲選第5名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color w:val="000000"/>
                      <w:u w:val="single"/>
                    </w:rPr>
                    <w:t>納稅義務人死亡，可否就其繼承人固有財產逕予執行之探討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楊思誠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刊登於94年9月出版「螺訊」第19期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102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7</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u w:val="single"/>
                    </w:rPr>
                    <w:t>行政執行事件執行名義之審查及其相關問題—以滯納稅捐之執行事件為例</w:t>
                  </w:r>
                  <w:r>
                    <w:rPr>
                      <w:rFonts w:ascii="標楷體" w:eastAsia="標楷體" w:hint="eastAsia"/>
                      <w:szCs w:val="28"/>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蔡基文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刊登於95年6月出版「稅務旬刊」第1971期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8</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eastAsia="標楷體" w:hint="eastAsia"/>
                      <w:u w:val="single"/>
                    </w:rPr>
                    <w:t>稅單未載明繳納始日之法律效果</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賴淑櫻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刊登於95年9月出版「稅務旬刊」第1978期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9</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color w:val="000000"/>
                      <w:szCs w:val="28"/>
                      <w:u w:val="single"/>
                    </w:rPr>
                    <w:t>幾則涉及繼承土地地價稅疑義之探討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刊登於95年3月出版「稅務旬刊」第1960期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10</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會計師行政懲戒責任之探討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刊登於95年5月出版「稅務旬刊」第1968期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11</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eastAsia="標楷體" w:hint="eastAsia"/>
                      <w:szCs w:val="40"/>
                      <w:u w:val="single"/>
                    </w:rPr>
                    <w:t>不當得利與強制執行法第三四條適用之檢討</w:t>
                  </w:r>
                  <w:r w:rsidRPr="007608DB">
                    <w:rPr>
                      <w:rFonts w:eastAsia="標楷體" w:hint="eastAsia"/>
                      <w:u w:val="single"/>
                    </w:rPr>
                    <w:t>－兼評台灣高等法院台中分院九五年上易字第一八一號判決</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簡祥紋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刊登於95年10月出版「</w:t>
                  </w:r>
                  <w:r>
                    <w:rPr>
                      <w:rFonts w:ascii="標楷體" w:eastAsia="標楷體" w:hAnsi="標楷體" w:hint="eastAsia"/>
                      <w:szCs w:val="28"/>
                    </w:rPr>
                    <w:t>中律會訊」第9卷第2期</w:t>
                  </w:r>
                  <w:r>
                    <w:rPr>
                      <w:rFonts w:ascii="標楷體" w:eastAsia="標楷體"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7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12</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44"/>
                      <w:u w:val="single"/>
                    </w:rPr>
                    <w:t>禁雙重查封有損債權人保護</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簡聖潔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刊登於95年10月出版「稅務旬刊」第1982期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spacing w:before="100" w:beforeAutospacing="1" w:after="100" w:afterAutospacing="1"/>
              <w:jc w:val="center"/>
            </w:pPr>
            <w:r>
              <w:lastRenderedPageBreak/>
              <w:t xml:space="preserve">　</w:t>
            </w:r>
            <w:r>
              <w:rPr>
                <w:rFonts w:ascii="標楷體" w:eastAsia="標楷體" w:hint="eastAsia"/>
                <w:b/>
                <w:bCs/>
                <w:spacing w:val="-4"/>
                <w:sz w:val="32"/>
              </w:rPr>
              <w:t xml:space="preserve">96年度行政執行業務相關問題研究報告目錄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61"/>
              <w:gridCol w:w="3675"/>
              <w:gridCol w:w="803"/>
              <w:gridCol w:w="2051"/>
              <w:gridCol w:w="1106"/>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欠税案件執行期間之探討</w:t>
                  </w:r>
                  <w:hyperlink r:id="rId4"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陳典聖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刊登於96年3月31日出版「稅務旬刊」第1998期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工程受益費之時效與執行期間</w:t>
                  </w:r>
                  <w:hyperlink r:id="rId5"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刊登於96年2月出版之「律師雜誌」第329期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逃漏稅罰金與刑度都應提高</w:t>
                  </w:r>
                  <w:hyperlink r:id="rId6"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李俊慶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刊登於96年5月31日、96年6月10日出版「稅務旬刊」第2004期、第2005期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獲選第3名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談公法請求權時效及執行期間</w:t>
                  </w:r>
                  <w:hyperlink r:id="rId7"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賴淑櫻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刊登於96年7月31日出版「稅務旬刊」第2010期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獲選第4名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稅捐優先受償新法窒礙難行</w:t>
                  </w:r>
                  <w:hyperlink r:id="rId8"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刊登於96年9月10日出版「稅務旬刊」第2014期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獲選第5名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行政執行法第十九條第四項再行管收程序之研究</w:t>
                  </w:r>
                  <w:hyperlink r:id="rId9"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姚其聖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刊登於96年5月1日、96年6月1日出版「台南律師通訊」第141期、第142期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評定為優良 </w:t>
                  </w:r>
                </w:p>
              </w:tc>
            </w:tr>
            <w:tr w:rsidR="007608DB">
              <w:trPr>
                <w:trHeight w:val="102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7</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公司清算人的法律責任</w:t>
                  </w:r>
                  <w:hyperlink r:id="rId10"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楊嘉源</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刊登於95年11月10日出版「稅務旬刊」第1984期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8</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探討新修稅徵法第23條規定</w:t>
                  </w:r>
                  <w:hyperlink r:id="rId11" w:history="1">
                    <w:r>
                      <w:rPr>
                        <w:rStyle w:val="a7"/>
                        <w:rFonts w:ascii="標楷體" w:eastAsia="標楷體" w:hAnsi="標楷體" w:hint="eastAsia"/>
                        <w:sz w:val="28"/>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陳典聖</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刊登於96年10月31日出版「稅務旬刊」第2019期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9</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執行程序中移送機關協力義務</w:t>
                  </w:r>
                  <w:hyperlink r:id="rId12" w:history="1">
                    <w:r>
                      <w:rPr>
                        <w:rStyle w:val="a7"/>
                        <w:rFonts w:ascii="標楷體" w:eastAsia="標楷體" w:hAnsi="標楷體" w:hint="eastAsia"/>
                        <w:sz w:val="28"/>
                        <w:szCs w:val="36"/>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王金豐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刊登於96年6月30日出版「稅務旬刊」第2007期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10</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看日本如何反制脫產逃漏花招－日本公法上金錢給付義務執行制度簡介</w:t>
                  </w:r>
                  <w:hyperlink r:id="rId13" w:history="1">
                    <w:r>
                      <w:rPr>
                        <w:rStyle w:val="a7"/>
                        <w:rFonts w:ascii="標楷體" w:eastAsia="標楷體" w:hAnsi="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刊登於96年8月31日出版「稅務旬刊」第2013期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11</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執行欠稅人信託財產之探討</w:t>
                  </w:r>
                  <w:hyperlink r:id="rId14" w:history="1">
                    <w:r>
                      <w:rPr>
                        <w:rStyle w:val="a7"/>
                        <w:rFonts w:eastAsia="標楷體"/>
                        <w:sz w:val="28"/>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蔡基文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刊登於96年7月31日出版「稅務旬刊」第2010期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7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lastRenderedPageBreak/>
                    <w:t>12</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稅捐執行期間新釋令逾法</w:t>
                  </w:r>
                  <w:hyperlink r:id="rId15" w:history="1">
                    <w:r>
                      <w:rPr>
                        <w:rStyle w:val="a7"/>
                        <w:rFonts w:eastAsia="標楷體"/>
                        <w:sz w:val="28"/>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刊登於96年8月10日出版「稅務旬刊」第2011期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7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13</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行政執行程序電子化之回顧與展望</w:t>
                  </w:r>
                  <w:hyperlink r:id="rId16" w:history="1">
                    <w:r>
                      <w:rPr>
                        <w:rStyle w:val="a7"/>
                        <w:rFonts w:ascii="標楷體" w:eastAsia="標楷體" w:hAnsi="標楷體" w:hint="eastAsia"/>
                        <w:sz w:val="28"/>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王金豐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刊登於96年9月27日出版「法務通訊」第2358期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7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14</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租稅優先權新規定排擠工資債權－修正稅捐稽徵法第六條剖析</w:t>
                  </w:r>
                  <w:hyperlink r:id="rId17" w:history="1">
                    <w:r>
                      <w:rPr>
                        <w:rStyle w:val="a7"/>
                        <w:rFonts w:ascii="標楷體" w:eastAsia="標楷體" w:hAnsi="標楷體" w:hint="eastAsia"/>
                        <w:sz w:val="28"/>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刊登於96年5月10日出版「稅務旬刊」第2002期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7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15</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Ansi="標楷體" w:hint="eastAsia"/>
                      <w:szCs w:val="28"/>
                      <w:u w:val="single"/>
                    </w:rPr>
                    <w:t>行政執行法限制出境之作為與革新芻議－兼論多階行政處分之辨正</w:t>
                  </w:r>
                  <w:hyperlink r:id="rId18" w:history="1">
                    <w:r>
                      <w:rPr>
                        <w:rStyle w:val="a7"/>
                        <w:rFonts w:ascii="標楷體" w:eastAsia="標楷體" w:hint="eastAsia"/>
                      </w:rPr>
                      <w:t xml:space="preserve"> </w:t>
                    </w:r>
                  </w:hyperlink>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姚其聖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both"/>
                    <w:rPr>
                      <w:rFonts w:ascii="新細明體" w:hAnsi="新細明體" w:cs="新細明體"/>
                    </w:rPr>
                  </w:pPr>
                  <w:r>
                    <w:rPr>
                      <w:rFonts w:ascii="標楷體" w:eastAsia="標楷體" w:hint="eastAsia"/>
                    </w:rPr>
                    <w:t xml:space="preserve">刊登於96年3月15日、96年3月22日出版「法務通訊」第2331期、第2332期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jc w:val="center"/>
            </w:pPr>
            <w:r>
              <w:t xml:space="preserve">　</w:t>
            </w:r>
            <w:r>
              <w:t xml:space="preserve"> </w:t>
            </w: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rPr>
                <w:rFonts w:hint="eastAsia"/>
              </w:rPr>
            </w:pPr>
          </w:p>
          <w:p w:rsidR="007608DB" w:rsidRDefault="007608DB">
            <w:pPr>
              <w:pStyle w:val="Web"/>
              <w:jc w:val="center"/>
            </w:pPr>
            <w:r>
              <w:t xml:space="preserve">　</w:t>
            </w:r>
          </w:p>
          <w:p w:rsidR="007608DB" w:rsidRDefault="007608DB">
            <w:pPr>
              <w:spacing w:before="100" w:beforeAutospacing="1" w:after="100" w:afterAutospacing="1"/>
              <w:jc w:val="center"/>
            </w:pPr>
            <w:r>
              <w:rPr>
                <w:rFonts w:ascii="標楷體" w:eastAsia="標楷體" w:hint="eastAsia"/>
                <w:b/>
                <w:bCs/>
                <w:spacing w:val="-4"/>
                <w:sz w:val="32"/>
              </w:rPr>
              <w:lastRenderedPageBreak/>
              <w:t xml:space="preserve">97年度行政執行業務相關問題研究報告目錄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62"/>
              <w:gridCol w:w="3693"/>
              <w:gridCol w:w="800"/>
              <w:gridCol w:w="2041"/>
              <w:gridCol w:w="1100"/>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w:t>
                  </w:r>
                  <w:r>
                    <w:rPr>
                      <w:rFonts w:eastAsia="標楷體"/>
                      <w:sz w:val="14"/>
                      <w:szCs w:val="14"/>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試論行政執行程序中對義務人財產之搜索</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刊登於96年11月22日出版之「法務通訊」第2366期起共3期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2</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探討欠稅限制住居之救濟途徑</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童永全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刊登於97年6月20日出版之「稅務旬刊」第2042期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3</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論公法不當得利返還請求方式</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賴淑櫻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刊登於97年7月31日出版之「稅務旬刊」第2046期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獲選第3名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4</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民事與行政執行程序競合探討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簡聖潔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刊登於96年11月30日出版之「稅務旬刊」第2022期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獲選第4名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5</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論稅捐救濟與行政執行</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李貴芬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刊登於97年2月10日出版之「稅務旬刊」第2029期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獲選第5名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6</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7608DB">
                    <w:rPr>
                      <w:rFonts w:ascii="標楷體" w:eastAsia="標楷體" w:hint="eastAsia"/>
                      <w:color w:val="000000"/>
                      <w:u w:val="single"/>
                    </w:rPr>
                    <w:t>普通法院對行政執行拘提管收事件不可審查執行名義論-評最高法院93年度台抗字第652號裁定-</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姚其聖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刊登於97年5月25日出版之「高雄律師會訊」第11屆第5期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評定為優良 </w:t>
                  </w:r>
                </w:p>
              </w:tc>
            </w:tr>
            <w:tr w:rsidR="007608DB">
              <w:trPr>
                <w:trHeight w:val="102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7</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試解對行政執行署聲明異議決定可否提起行政訴訟爭議</w:t>
                  </w:r>
                  <w:r>
                    <w:rPr>
                      <w:rFonts w:ascii="標楷體" w:eastAsia="標楷體" w:hint="eastAsia"/>
                      <w:szCs w:val="28"/>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姚其聖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刊登於97年1月17日出版之「司法周刊」第1373期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評定為優良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8</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 xml:space="preserve">公法上金錢給付擔保責任探究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張正為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刊登於97年1月10日出版之「稅務旬刊」第2026期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9</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rPr>
                      <w:rFonts w:ascii="新細明體" w:hAnsi="新細明體" w:cs="新細明體"/>
                    </w:rPr>
                  </w:pPr>
                  <w:r w:rsidRPr="007608DB">
                    <w:rPr>
                      <w:rFonts w:ascii="標楷體" w:eastAsia="標楷體" w:hint="eastAsia"/>
                      <w:u w:val="single"/>
                    </w:rPr>
                    <w:t>限制出境應法官保留嗎？--以行政執行法第17條為中心</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刊登於97年2月21日出版之「法務通訊」第2378期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10</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欠稅移送執行的管轄問題</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陳典聖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刊登於97年10月20日出版之「稅務旬刊」第2054期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tabs>
                      <w:tab w:val="num" w:pos="480"/>
                    </w:tabs>
                    <w:spacing w:before="100" w:beforeAutospacing="1" w:after="100" w:afterAutospacing="1" w:line="320" w:lineRule="exact"/>
                    <w:ind w:left="480" w:hanging="480"/>
                    <w:jc w:val="center"/>
                    <w:rPr>
                      <w:rFonts w:ascii="新細明體" w:hAnsi="新細明體" w:cs="新細明體"/>
                    </w:rPr>
                  </w:pPr>
                  <w:r>
                    <w:rPr>
                      <w:rFonts w:ascii="標楷體" w:eastAsia="標楷體" w:hint="eastAsia"/>
                      <w:sz w:val="32"/>
                    </w:rPr>
                    <w:t>11</w:t>
                  </w:r>
                  <w:r>
                    <w:rPr>
                      <w:rFonts w:eastAsia="標楷體"/>
                      <w:sz w:val="14"/>
                      <w:szCs w:val="14"/>
                    </w:rPr>
                    <w:t xml:space="preserve">     </w:t>
                  </w:r>
                  <w:r>
                    <w:t> </w:t>
                  </w:r>
                  <w:r>
                    <w:rPr>
                      <w:rFonts w:ascii="標楷體" w:eastAsia="標楷體" w:hint="eastAsia"/>
                    </w:rPr>
                    <w:t xml:space="preserve">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7608DB">
                    <w:rPr>
                      <w:rFonts w:ascii="標楷體" w:eastAsia="標楷體" w:hint="eastAsia"/>
                      <w:u w:val="single"/>
                    </w:rPr>
                    <w:t>樂見稅徵法第18條之修正</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刊登於97年1月10日出版之「稅務旬刊」第2026期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w:t>
                  </w:r>
                  <w:r>
                    <w:rPr>
                      <w:rFonts w:ascii="標楷體" w:eastAsia="標楷體" w:hint="eastAsia"/>
                    </w:rPr>
                    <w:t xml:space="preserve"> </w:t>
                  </w:r>
                </w:p>
              </w:tc>
            </w:tr>
          </w:tbl>
          <w:p w:rsidR="007608DB" w:rsidRDefault="007608DB">
            <w:pPr>
              <w:pStyle w:val="Web"/>
              <w:jc w:val="center"/>
            </w:pPr>
            <w:r>
              <w:rPr>
                <w:rFonts w:ascii="Times New Roman" w:eastAsia="標楷體" w:hAnsi="Times New Roman" w:cs="Times New Roman" w:hint="eastAsia"/>
                <w:kern w:val="2"/>
                <w:sz w:val="28"/>
              </w:rPr>
              <w:t>※僅供行政執行業務參考，如有他用應得著作人之同意。</w:t>
            </w:r>
          </w:p>
          <w:p w:rsidR="007608DB" w:rsidRDefault="007608DB" w:rsidP="00473DFE">
            <w:pPr>
              <w:pStyle w:val="Web"/>
              <w:jc w:val="center"/>
            </w:pPr>
            <w:r>
              <w:lastRenderedPageBreak/>
              <w:t xml:space="preserve">　</w:t>
            </w:r>
            <w:r>
              <w:rPr>
                <w:rFonts w:ascii="標楷體" w:eastAsia="標楷體" w:hint="eastAsia"/>
                <w:b/>
                <w:bCs/>
                <w:spacing w:val="-4"/>
                <w:sz w:val="32"/>
              </w:rPr>
              <w:t xml:space="preserve">98年度行政執行業務相關問題研究報告目錄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16"/>
              <w:gridCol w:w="3770"/>
              <w:gridCol w:w="812"/>
              <w:gridCol w:w="2078"/>
              <w:gridCol w:w="1120"/>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1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除租處分之立法政策與法律效果探討</w:t>
                  </w:r>
                  <w:r>
                    <w:rPr>
                      <w:rFonts w:ascii="標楷體" w:eastAsia="標楷體" w:hint="eastAsia"/>
                      <w:u w:val="single"/>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刊登於98年3月出版之「法學新論」第8期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2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行政執行處對執行名義審查範圍之初探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刊登於98年4月出版之「法令月刊」第60卷第4期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3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簡介日本稅捐滯納處分程序之網路公賣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楊嘉源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刊登於97年11月20日出版之「法務通訊」第2417期起共3期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獲選第3名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4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工程保留款債權的強制執行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張雍制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刊登於98年2月出版之「法令月刊」第60卷第2期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獲選第4名</w:t>
                  </w:r>
                  <w:r>
                    <w:rPr>
                      <w:rFonts w:ascii="Arial Unicode MS" w:eastAsia="Arial Unicode MS" w:hAnsi="Arial Unicode MS" w:cs="Arial Unicode MS"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5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欠繳土增稅土地之強制執行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張雍制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刊登於98年6月30日出版之「稅務旬刊」第2079期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獲選第5名</w:t>
                  </w:r>
                  <w:r>
                    <w:rPr>
                      <w:rFonts w:ascii="Arial Unicode MS" w:eastAsia="Arial Unicode MS" w:hAnsi="Arial Unicode MS" w:cs="Arial Unicode MS" w:hint="eastAsia"/>
                    </w:rP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6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u w:val="single"/>
                    </w:rPr>
                    <w:t xml:space="preserve">行政執行案件之執行程序對各類案件徵起金額之影響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王金豐古秀梅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刊登於98年4月23日出版之「法務通訊」第2438期起共2期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xml:space="preserve">  </w:t>
                  </w:r>
                </w:p>
              </w:tc>
            </w:tr>
            <w:tr w:rsidR="007608DB">
              <w:trPr>
                <w:trHeight w:val="102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7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論行政執行中對公司負責人之限制出境-高雄高等行政法院92年訴字第1080號判決評釋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蔡基文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刊登於98年3月26日出版之「法務通訊」第2434期起共2期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8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公法上請求權時效問題之研究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刊登於98年7月30日出版之「法務通訊」第2452期起共2期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9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稅捐債權參與分配之時間點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簡聖潔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刊登於98年10月10日出版之「稅務旬刊」第2089期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xml:space="preserve">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sz w:val="32"/>
                    </w:rPr>
                    <w:t xml:space="preserve">10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sidRPr="00473DFE">
                    <w:rPr>
                      <w:rFonts w:ascii="標楷體" w:eastAsia="標楷體" w:hint="eastAsia"/>
                      <w:u w:val="single"/>
                    </w:rPr>
                    <w:t xml:space="preserve">談行政執行處政策目標與績效統計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rPr>
                    <w:t xml:space="preserve">陳典聖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刊登於98年9月3日出版之「法務通訊」第2457期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t xml:space="preserve">  </w:t>
                  </w:r>
                </w:p>
              </w:tc>
            </w:tr>
          </w:tbl>
          <w:p w:rsidR="007608DB" w:rsidRDefault="007608DB">
            <w:pPr>
              <w:spacing w:before="100" w:beforeAutospacing="1" w:after="100" w:afterAutospacing="1"/>
              <w:jc w:val="center"/>
            </w:pPr>
          </w:p>
          <w:p w:rsidR="007608DB" w:rsidRDefault="007608DB">
            <w:pPr>
              <w:spacing w:before="100" w:beforeAutospacing="1" w:after="100" w:afterAutospacing="1"/>
              <w:jc w:val="center"/>
            </w:pPr>
            <w:r>
              <w:lastRenderedPageBreak/>
              <w:t xml:space="preserve">　</w:t>
            </w:r>
            <w:r>
              <w:rPr>
                <w:rFonts w:ascii="標楷體" w:eastAsia="標楷體" w:hint="eastAsia"/>
                <w:b/>
                <w:bCs/>
                <w:spacing w:val="-4"/>
                <w:sz w:val="32"/>
              </w:rPr>
              <w:t xml:space="preserve">99年度行政執行業務相關問題研究報告目錄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5"/>
              <w:gridCol w:w="3776"/>
              <w:gridCol w:w="813"/>
              <w:gridCol w:w="2081"/>
              <w:gridCol w:w="1121"/>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編號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題     目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著作人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登載之刊物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 xml:space="preserve">備註 </w:t>
                  </w:r>
                </w:p>
              </w:tc>
            </w:tr>
            <w:tr w:rsidR="007608DB">
              <w:trPr>
                <w:trHeight w:val="91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1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rPr>
                    <w:t>民法第1030條之1剩餘財產分配請求權的強制執行</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張雍制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刊登於99年3月出版之「法令月刊」第61卷第3期</w:t>
                  </w:r>
                  <w:r>
                    <w:rPr>
                      <w:rFonts w:ascii="標楷體" w:eastAsia="標楷體" w:hint="eastAsia"/>
                      <w:color w:val="FF000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862"/>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2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rPr>
                    <w:t>債權憑證制度於行政執行程序之準用</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陳典聖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刊登於99年10月出版之「法令月刊」第61卷第10期</w:t>
                  </w:r>
                  <w:r>
                    <w:rPr>
                      <w:rFonts w:ascii="標楷體" w:eastAsia="標楷體" w:hint="eastAsia"/>
                      <w:color w:val="FF000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獲選第1名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3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rPr>
                    <w:t>管收實務案例之研究</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陳典聖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刊登於98年10月出版之「97年度法務研究選輯」</w:t>
                  </w:r>
                  <w:r>
                    <w:rPr>
                      <w:rFonts w:ascii="標楷體" w:eastAsia="標楷體" w:hint="eastAsia"/>
                      <w:color w:val="FF000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rPr>
                    <w:t xml:space="preserve">獲選第2名 </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4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rPr>
                    <w:t>稅捐債權優先性之經濟分析</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胡天賜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刊登於99年9月出版之「財產法暨經濟法」第23期</w:t>
                  </w:r>
                  <w:r>
                    <w:rPr>
                      <w:rFonts w:ascii="標楷體" w:eastAsia="標楷體" w:hint="eastAsia"/>
                      <w:color w:val="FF000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獲選第3名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5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int="eastAsia"/>
                      <w:color w:val="000000"/>
                    </w:rPr>
                    <w:t>從程序基本權探討稅捐稽徵法第19條第3項之送達</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張哲榮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刊登於 99年3月15日 出版之「全國律師」3月號</w:t>
                  </w:r>
                  <w:r>
                    <w:rPr>
                      <w:rFonts w:ascii="標楷體" w:eastAsia="標楷體" w:hint="eastAsia"/>
                      <w:color w:val="FF000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獲選第3名</w:t>
                  </w:r>
                </w:p>
              </w:tc>
            </w:tr>
            <w:tr w:rsidR="007608DB">
              <w:trPr>
                <w:trHeight w:val="96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Ansi="標楷體" w:hint="eastAsia"/>
                    </w:rPr>
                    <w:t xml:space="preserve">6 </w:t>
                  </w:r>
                </w:p>
              </w:tc>
              <w:tc>
                <w:tcPr>
                  <w:tcW w:w="432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color w:val="000000"/>
                    </w:rPr>
                    <w:t>建議修法向公司實際負責人追繳欠稅</w:t>
                  </w:r>
                  <w:r>
                    <w:rPr>
                      <w:rFonts w:ascii="標楷體" w:eastAsia="標楷體" w:hint="eastAsia"/>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int="eastAsia"/>
                      <w:color w:val="000000"/>
                    </w:rPr>
                    <w:t xml:space="preserve">蔡基文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608DB" w:rsidRDefault="007608DB">
                  <w:pPr>
                    <w:spacing w:before="100" w:beforeAutospacing="1" w:after="100" w:afterAutospacing="1" w:line="320" w:lineRule="exact"/>
                    <w:rPr>
                      <w:rFonts w:ascii="新細明體" w:hAnsi="新細明體" w:cs="新細明體"/>
                    </w:rPr>
                  </w:pPr>
                  <w:r>
                    <w:rPr>
                      <w:rFonts w:ascii="標楷體" w:eastAsia="標楷體" w:hint="eastAsia"/>
                      <w:color w:val="000000"/>
                    </w:rPr>
                    <w:t xml:space="preserve">刊登於99年7月20日出版之「稅務旬刊」第2117期 </w:t>
                  </w:r>
                </w:p>
              </w:tc>
              <w:tc>
                <w:tcPr>
                  <w:tcW w:w="1260" w:type="dxa"/>
                  <w:tcBorders>
                    <w:top w:val="single" w:sz="4" w:space="0" w:color="auto"/>
                    <w:left w:val="single" w:sz="4" w:space="0" w:color="auto"/>
                    <w:bottom w:val="single" w:sz="4" w:space="0" w:color="auto"/>
                    <w:right w:val="single" w:sz="4" w:space="0" w:color="auto"/>
                  </w:tcBorders>
                  <w:hideMark/>
                </w:tcPr>
                <w:p w:rsidR="007608DB" w:rsidRDefault="007608DB">
                  <w:pPr>
                    <w:spacing w:before="100" w:beforeAutospacing="1" w:after="100" w:afterAutospacing="1"/>
                    <w:rPr>
                      <w:rFonts w:ascii="新細明體" w:hAnsi="新細明體" w:cs="新細明體"/>
                    </w:rPr>
                  </w:pPr>
                  <w:r>
                    <w:rPr>
                      <w:rFonts w:ascii="標楷體" w:eastAsia="標楷體" w:hint="eastAsia"/>
                    </w:rPr>
                    <w:t> </w:t>
                  </w:r>
                  <w:r>
                    <w:rPr>
                      <w:rFonts w:ascii="標楷體" w:eastAsia="標楷體" w:hint="eastAsia"/>
                    </w:rPr>
                    <w:t xml:space="preserve"> </w:t>
                  </w:r>
                </w:p>
              </w:tc>
            </w:tr>
          </w:tbl>
          <w:p w:rsidR="00473DFE" w:rsidRDefault="00473DFE">
            <w:pPr>
              <w:spacing w:before="100" w:beforeAutospacing="1" w:after="100" w:afterAutospacing="1"/>
              <w:jc w:val="center"/>
              <w:rPr>
                <w:rFonts w:ascii="標楷體" w:eastAsia="標楷體" w:hAnsi="標楷體" w:hint="eastAsia"/>
                <w:b/>
                <w:bCs/>
                <w:spacing w:val="-4"/>
                <w:sz w:val="32"/>
                <w:szCs w:val="32"/>
              </w:rPr>
            </w:pPr>
          </w:p>
          <w:p w:rsidR="00473DFE" w:rsidRDefault="00473DFE">
            <w:pPr>
              <w:spacing w:before="100" w:beforeAutospacing="1" w:after="100" w:afterAutospacing="1"/>
              <w:jc w:val="center"/>
              <w:rPr>
                <w:rFonts w:ascii="標楷體" w:eastAsia="標楷體" w:hAnsi="標楷體" w:hint="eastAsia"/>
                <w:b/>
                <w:bCs/>
                <w:spacing w:val="-4"/>
                <w:sz w:val="32"/>
                <w:szCs w:val="32"/>
              </w:rPr>
            </w:pPr>
          </w:p>
          <w:p w:rsidR="00473DFE" w:rsidRDefault="00473DFE">
            <w:pPr>
              <w:spacing w:before="100" w:beforeAutospacing="1" w:after="100" w:afterAutospacing="1"/>
              <w:jc w:val="center"/>
              <w:rPr>
                <w:rFonts w:ascii="標楷體" w:eastAsia="標楷體" w:hAnsi="標楷體" w:hint="eastAsia"/>
                <w:b/>
                <w:bCs/>
                <w:spacing w:val="-4"/>
                <w:sz w:val="32"/>
                <w:szCs w:val="32"/>
              </w:rPr>
            </w:pPr>
          </w:p>
          <w:p w:rsidR="00473DFE" w:rsidRDefault="00473DFE">
            <w:pPr>
              <w:spacing w:before="100" w:beforeAutospacing="1" w:after="100" w:afterAutospacing="1"/>
              <w:jc w:val="center"/>
              <w:rPr>
                <w:rFonts w:ascii="標楷體" w:eastAsia="標楷體" w:hAnsi="標楷體" w:hint="eastAsia"/>
                <w:b/>
                <w:bCs/>
                <w:spacing w:val="-4"/>
                <w:sz w:val="32"/>
                <w:szCs w:val="32"/>
              </w:rPr>
            </w:pPr>
          </w:p>
          <w:p w:rsidR="00473DFE" w:rsidRDefault="00473DFE">
            <w:pPr>
              <w:spacing w:before="100" w:beforeAutospacing="1" w:after="100" w:afterAutospacing="1"/>
              <w:jc w:val="center"/>
              <w:rPr>
                <w:rFonts w:ascii="標楷體" w:eastAsia="標楷體" w:hAnsi="標楷體" w:hint="eastAsia"/>
                <w:b/>
                <w:bCs/>
                <w:spacing w:val="-4"/>
                <w:sz w:val="32"/>
                <w:szCs w:val="32"/>
              </w:rPr>
            </w:pPr>
          </w:p>
          <w:p w:rsidR="00473DFE" w:rsidRDefault="00473DFE">
            <w:pPr>
              <w:spacing w:before="100" w:beforeAutospacing="1" w:after="100" w:afterAutospacing="1"/>
              <w:jc w:val="center"/>
              <w:rPr>
                <w:rFonts w:ascii="標楷體" w:eastAsia="標楷體" w:hAnsi="標楷體" w:hint="eastAsia"/>
                <w:b/>
                <w:bCs/>
                <w:spacing w:val="-4"/>
                <w:sz w:val="32"/>
                <w:szCs w:val="32"/>
              </w:rPr>
            </w:pPr>
          </w:p>
          <w:p w:rsidR="007608DB" w:rsidRDefault="007608DB">
            <w:pPr>
              <w:spacing w:before="100" w:beforeAutospacing="1" w:after="100" w:afterAutospacing="1"/>
              <w:jc w:val="center"/>
            </w:pPr>
            <w:r>
              <w:rPr>
                <w:rFonts w:ascii="標楷體" w:eastAsia="標楷體" w:hAnsi="標楷體" w:hint="eastAsia"/>
                <w:b/>
                <w:bCs/>
                <w:spacing w:val="-4"/>
                <w:sz w:val="32"/>
                <w:szCs w:val="32"/>
              </w:rPr>
              <w:lastRenderedPageBreak/>
              <w:t>100年度行政執行業務相關問題研究報告目錄</w:t>
            </w:r>
          </w:p>
          <w:tbl>
            <w:tblPr>
              <w:tblW w:w="0" w:type="auto"/>
              <w:jc w:val="center"/>
              <w:tblCellMar>
                <w:left w:w="0" w:type="dxa"/>
                <w:right w:w="0" w:type="dxa"/>
              </w:tblCellMar>
              <w:tblLook w:val="04A0"/>
            </w:tblPr>
            <w:tblGrid>
              <w:gridCol w:w="504"/>
              <w:gridCol w:w="3802"/>
              <w:gridCol w:w="809"/>
              <w:gridCol w:w="2067"/>
              <w:gridCol w:w="1114"/>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編號</w:t>
                  </w:r>
                </w:p>
              </w:tc>
              <w:tc>
                <w:tcPr>
                  <w:tcW w:w="4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題</w:t>
                  </w:r>
                  <w:r>
                    <w:rPr>
                      <w:rFonts w:ascii="標楷體" w:eastAsia="標楷體" w:hint="eastAsia"/>
                      <w:b/>
                      <w:bCs/>
                    </w:rPr>
                    <w:t>    </w:t>
                  </w:r>
                  <w:r>
                    <w:rPr>
                      <w:rFonts w:ascii="標楷體" w:eastAsia="標楷體" w:hint="eastAsia"/>
                      <w:b/>
                      <w:bCs/>
                    </w:rPr>
                    <w:t xml:space="preserve"> 目</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著作人</w:t>
                  </w:r>
                </w:p>
              </w:tc>
              <w:tc>
                <w:tcPr>
                  <w:tcW w:w="23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登載之刊物</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備註</w:t>
                  </w:r>
                </w:p>
              </w:tc>
            </w:tr>
            <w:tr w:rsidR="007608DB">
              <w:trPr>
                <w:trHeight w:val="917"/>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1</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公法上金錢給付義務行政執行與民事強制執行之比較</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Ansi="標楷體" w:hint="eastAsia"/>
                    </w:rPr>
                    <w:t>黃有文</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刊登於99年12月出版之「98年度法務研究選輯」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獲選第1名</w:t>
                  </w:r>
                </w:p>
              </w:tc>
            </w:tr>
            <w:tr w:rsidR="007608DB">
              <w:trPr>
                <w:trHeight w:val="862"/>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2</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從美國立法例觀點檢討臺灣之拘提管收制度</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Ansi="標楷體" w:hint="eastAsia"/>
                    </w:rPr>
                    <w:t>胡天賜</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刊登於99年12月出版之「98年度法務研究選輯」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獲選第2名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3</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差額地價相關問題之研究</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Ansi="標楷體" w:hint="eastAsia"/>
                    </w:rPr>
                    <w:t>張哲榮</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刊登於100年9月29日出版之「法務通訊」第2563期</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獲選第3名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4</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行政執行法第15條規定相關問題淺析</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Ansi="標楷體" w:hint="eastAsia"/>
                    </w:rPr>
                    <w:t>陳奇星</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rPr>
                      <w:rFonts w:ascii="新細明體" w:hAnsi="新細明體" w:cs="新細明體"/>
                    </w:rPr>
                  </w:pPr>
                  <w:r>
                    <w:rPr>
                      <w:rFonts w:ascii="標楷體" w:eastAsia="標楷體" w:hAnsi="標楷體" w:hint="eastAsia"/>
                    </w:rPr>
                    <w:t>刊登於100年6月23日出版之「法務通訊」第2549期起共2期</w:t>
                  </w:r>
                </w:p>
              </w:tc>
              <w:tc>
                <w:tcPr>
                  <w:tcW w:w="1260" w:type="dxa"/>
                  <w:tcBorders>
                    <w:top w:val="nil"/>
                    <w:left w:val="nil"/>
                    <w:bottom w:val="single" w:sz="8" w:space="0" w:color="auto"/>
                    <w:right w:val="single" w:sz="8" w:space="0" w:color="auto"/>
                  </w:tcBorders>
                  <w:tcMar>
                    <w:top w:w="0" w:type="dxa"/>
                    <w:left w:w="28" w:type="dxa"/>
                    <w:bottom w:w="0" w:type="dxa"/>
                    <w:right w:w="28" w:type="dxa"/>
                  </w:tcMar>
                  <w:hideMark/>
                </w:tcPr>
                <w:p w:rsidR="007608DB" w:rsidRDefault="007608DB">
                  <w:pPr>
                    <w:spacing w:before="100" w:beforeAutospacing="1" w:after="100" w:afterAutospacing="1"/>
                    <w:rPr>
                      <w:rFonts w:ascii="新細明體" w:hAnsi="新細明體" w:cs="新細明體"/>
                    </w:rPr>
                  </w:pPr>
                  <w:r>
                    <w:rPr>
                      <w:rFonts w:ascii="標楷體" w:eastAsia="標楷體" w:hAnsi="標楷體" w:hint="eastAsia"/>
                    </w:rPr>
                    <w:t>獲選第4名</w:t>
                  </w:r>
                </w:p>
              </w:tc>
            </w:tr>
          </w:tbl>
          <w:p w:rsidR="007608DB" w:rsidRDefault="007608DB">
            <w:pPr>
              <w:spacing w:before="100" w:beforeAutospacing="1" w:after="100" w:afterAutospacing="1"/>
              <w:jc w:val="center"/>
            </w:pP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rPr>
                <w:rFonts w:hint="eastAsia"/>
              </w:rPr>
            </w:pPr>
            <w:r>
              <w:t xml:space="preserve">　</w:t>
            </w: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pPr>
          </w:p>
          <w:p w:rsidR="007608DB" w:rsidRDefault="007608DB">
            <w:pPr>
              <w:spacing w:before="100" w:beforeAutospacing="1" w:after="100" w:afterAutospacing="1"/>
              <w:jc w:val="center"/>
            </w:pPr>
            <w:r>
              <w:rPr>
                <w:rFonts w:ascii="標楷體" w:eastAsia="標楷體" w:hAnsi="標楷體" w:hint="eastAsia"/>
                <w:b/>
                <w:bCs/>
                <w:spacing w:val="-4"/>
                <w:sz w:val="32"/>
                <w:szCs w:val="32"/>
              </w:rPr>
              <w:lastRenderedPageBreak/>
              <w:t>101年度行政執行業務相關問題研究報告目錄</w:t>
            </w:r>
          </w:p>
          <w:tbl>
            <w:tblPr>
              <w:tblW w:w="0" w:type="auto"/>
              <w:jc w:val="center"/>
              <w:tblCellMar>
                <w:left w:w="0" w:type="dxa"/>
                <w:right w:w="0" w:type="dxa"/>
              </w:tblCellMar>
              <w:tblLook w:val="04A0"/>
            </w:tblPr>
            <w:tblGrid>
              <w:gridCol w:w="504"/>
              <w:gridCol w:w="3802"/>
              <w:gridCol w:w="707"/>
              <w:gridCol w:w="2169"/>
              <w:gridCol w:w="1114"/>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編號</w:t>
                  </w:r>
                </w:p>
              </w:tc>
              <w:tc>
                <w:tcPr>
                  <w:tcW w:w="4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題</w:t>
                  </w:r>
                  <w:r>
                    <w:rPr>
                      <w:rFonts w:ascii="標楷體" w:eastAsia="標楷體" w:hint="eastAsia"/>
                      <w:b/>
                      <w:bCs/>
                    </w:rPr>
                    <w:t>    </w:t>
                  </w:r>
                  <w:r>
                    <w:rPr>
                      <w:rFonts w:ascii="標楷體" w:eastAsia="標楷體" w:hint="eastAsia"/>
                      <w:b/>
                      <w:bCs/>
                    </w:rPr>
                    <w:t xml:space="preserve"> 目</w:t>
                  </w:r>
                </w:p>
              </w:tc>
              <w:tc>
                <w:tcPr>
                  <w:tcW w:w="7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著作人</w:t>
                  </w:r>
                </w:p>
              </w:tc>
              <w:tc>
                <w:tcPr>
                  <w:tcW w:w="24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登載之刊物</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備註</w:t>
                  </w:r>
                </w:p>
              </w:tc>
            </w:tr>
            <w:tr w:rsidR="007608DB">
              <w:trPr>
                <w:trHeight w:val="917"/>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1</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論金融商品之執行</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楊嘉源蕭小娟邱文忠</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刊登於100年11月出版之「99年度法務研究選輯」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獲選第1名</w:t>
                  </w:r>
                </w:p>
              </w:tc>
            </w:tr>
            <w:tr w:rsidR="007608DB">
              <w:trPr>
                <w:trHeight w:val="862"/>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2</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color w:val="000000"/>
                    </w:rPr>
                    <w:t>損害債權罪之可責性探討</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胡天賜</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400" w:lineRule="atLeast"/>
                    <w:jc w:val="both"/>
                    <w:rPr>
                      <w:rFonts w:ascii="新細明體" w:hAnsi="新細明體" w:cs="新細明體"/>
                    </w:rPr>
                  </w:pPr>
                  <w:r>
                    <w:rPr>
                      <w:rFonts w:ascii="標楷體" w:eastAsia="標楷體" w:hAnsi="標楷體" w:hint="eastAsia"/>
                    </w:rPr>
                    <w:t>刊登於101年3月出版之「財產法暨經濟法</w:t>
                  </w:r>
                </w:p>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」第29期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獲選第2名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3</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color w:val="000000"/>
                    </w:rPr>
                    <w:t>論公法上金錢給付義務執行之執行名義</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劉世民</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刊登於101年6月出版之「玄奘法律學報」第17期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獲選第3名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4</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公司歇業後，勞工退休準備金專戶賸餘款之執行</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楊嘉源</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刊登於101年5月20日出版之「稅務旬刊」第2183期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獲選第4名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sz w:val="28"/>
                      <w:szCs w:val="28"/>
                    </w:rPr>
                    <w:t>5</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汽車燃料使用費相關問題之研究</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張哲榮</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both"/>
                    <w:rPr>
                      <w:rFonts w:ascii="新細明體" w:hAnsi="新細明體" w:cs="新細明體"/>
                    </w:rPr>
                  </w:pPr>
                  <w:r>
                    <w:rPr>
                      <w:rFonts w:ascii="標楷體" w:eastAsia="標楷體" w:hAnsi="標楷體" w:hint="eastAsia"/>
                    </w:rPr>
                    <w:t>刊登於100年10月出版之「全國律師」第15卷第10期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獲選第4名</w:t>
                  </w:r>
                </w:p>
              </w:tc>
            </w:tr>
          </w:tbl>
          <w:p w:rsidR="007608DB" w:rsidRDefault="007608DB">
            <w:pPr>
              <w:spacing w:before="100" w:beforeAutospacing="1" w:after="100" w:afterAutospacing="1"/>
              <w:jc w:val="center"/>
            </w:pP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rPr>
                <w:rFonts w:hint="eastAsia"/>
              </w:rPr>
            </w:pPr>
            <w:r>
              <w:t xml:space="preserve">　</w:t>
            </w: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pPr>
          </w:p>
          <w:p w:rsidR="007608DB" w:rsidRDefault="007608DB">
            <w:pPr>
              <w:spacing w:before="100" w:beforeAutospacing="1" w:after="100" w:afterAutospacing="1"/>
              <w:jc w:val="center"/>
            </w:pPr>
            <w:r>
              <w:rPr>
                <w:rFonts w:ascii="標楷體" w:eastAsia="標楷體" w:hAnsi="標楷體" w:hint="eastAsia"/>
                <w:b/>
                <w:bCs/>
                <w:spacing w:val="-4"/>
                <w:sz w:val="32"/>
                <w:szCs w:val="32"/>
              </w:rPr>
              <w:lastRenderedPageBreak/>
              <w:t>102年度行政執行業務相關問題研究報告目錄</w:t>
            </w:r>
          </w:p>
          <w:tbl>
            <w:tblPr>
              <w:tblW w:w="0" w:type="auto"/>
              <w:jc w:val="center"/>
              <w:tblCellMar>
                <w:left w:w="0" w:type="dxa"/>
                <w:right w:w="0" w:type="dxa"/>
              </w:tblCellMar>
              <w:tblLook w:val="04A0"/>
            </w:tblPr>
            <w:tblGrid>
              <w:gridCol w:w="503"/>
              <w:gridCol w:w="3793"/>
              <w:gridCol w:w="706"/>
              <w:gridCol w:w="2182"/>
              <w:gridCol w:w="1112"/>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編號</w:t>
                  </w:r>
                </w:p>
              </w:tc>
              <w:tc>
                <w:tcPr>
                  <w:tcW w:w="4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題</w:t>
                  </w:r>
                  <w:r>
                    <w:rPr>
                      <w:rFonts w:ascii="標楷體" w:eastAsia="標楷體" w:hint="eastAsia"/>
                      <w:b/>
                      <w:bCs/>
                    </w:rPr>
                    <w:t>    </w:t>
                  </w:r>
                  <w:r>
                    <w:rPr>
                      <w:rFonts w:ascii="標楷體" w:eastAsia="標楷體" w:hint="eastAsia"/>
                      <w:b/>
                      <w:bCs/>
                    </w:rPr>
                    <w:t xml:space="preserve"> 目</w:t>
                  </w:r>
                </w:p>
              </w:tc>
              <w:tc>
                <w:tcPr>
                  <w:tcW w:w="7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著作人</w:t>
                  </w:r>
                </w:p>
              </w:tc>
              <w:tc>
                <w:tcPr>
                  <w:tcW w:w="24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登載之刊物</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備註</w:t>
                  </w:r>
                </w:p>
              </w:tc>
            </w:tr>
            <w:tr w:rsidR="007608DB">
              <w:trPr>
                <w:trHeight w:val="917"/>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1</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公法上金錢給付義務之執行名義</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center"/>
                    <w:rPr>
                      <w:rFonts w:ascii="新細明體" w:hAnsi="新細明體" w:cs="新細明體"/>
                    </w:rPr>
                  </w:pPr>
                  <w:r>
                    <w:rPr>
                      <w:rFonts w:ascii="標楷體" w:eastAsia="標楷體" w:hAnsi="標楷體" w:hint="eastAsia"/>
                    </w:rPr>
                    <w:t>穆治平</w:t>
                  </w:r>
                </w:p>
                <w:p w:rsidR="007608DB" w:rsidRDefault="007608DB">
                  <w:pPr>
                    <w:spacing w:before="100" w:beforeAutospacing="1" w:after="100" w:afterAutospacing="1"/>
                    <w:jc w:val="center"/>
                  </w:pPr>
                  <w:r>
                    <w:rPr>
                      <w:rFonts w:ascii="標楷體" w:eastAsia="標楷體" w:hAnsi="標楷體" w:hint="eastAsia"/>
                    </w:rPr>
                    <w:t>江佳蓉</w:t>
                  </w:r>
                </w:p>
                <w:p w:rsidR="007608DB" w:rsidRDefault="007608DB">
                  <w:pPr>
                    <w:rPr>
                      <w:sz w:val="20"/>
                      <w:szCs w:val="20"/>
                    </w:rPr>
                  </w:pPr>
                  <w:r>
                    <w:rPr>
                      <w:rFonts w:ascii="標楷體" w:eastAsia="標楷體" w:hAnsi="標楷體" w:hint="eastAsia"/>
                    </w:rPr>
                    <w:t>陳文生</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刊登於101年11月出版之「100年度法務研究選輯」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獲選第1名</w:t>
                  </w:r>
                </w:p>
              </w:tc>
            </w:tr>
            <w:tr w:rsidR="007608DB">
              <w:trPr>
                <w:trHeight w:val="862"/>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2</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地價稅單行政執行對象疑義</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劉惠文</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刊登於102年2月20日出版之「稅務旬刊」第2210期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獲選第2名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3</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電影悲慘世界之感-兼論海關緝私條例及海關代徵稅捐之執行期間</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陳靜怡</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刊登於102年10月18日出版之「法務通訊」第2668期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獲選第3名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4</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租稅條約(協定)與公法上金錢給付義務之執行</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楊嘉源</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刊登於102年10月20日出版之「稅務旬刊」第2234期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獲選第4名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sz w:val="28"/>
                      <w:szCs w:val="28"/>
                    </w:rPr>
                    <w:t>5</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論行政執行程序中之公司清算人</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李貴芬</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刊登於102年5月20月出版之「稅務旬刊」第2219期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獲選第4名</w:t>
                  </w:r>
                </w:p>
              </w:tc>
            </w:tr>
          </w:tbl>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473DFE" w:rsidRDefault="00473DFE">
            <w:pPr>
              <w:spacing w:before="100" w:beforeAutospacing="1" w:after="100" w:afterAutospacing="1"/>
              <w:jc w:val="center"/>
              <w:rPr>
                <w:rFonts w:hint="eastAsia"/>
              </w:rPr>
            </w:pP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pPr>
            <w:r>
              <w:rPr>
                <w:rFonts w:ascii="標楷體" w:eastAsia="標楷體" w:hAnsi="標楷體" w:hint="eastAsia"/>
                <w:b/>
                <w:bCs/>
                <w:spacing w:val="-4"/>
                <w:sz w:val="32"/>
                <w:szCs w:val="32"/>
              </w:rPr>
              <w:lastRenderedPageBreak/>
              <w:t>103年度行政執行業務相關問題研究報告目錄</w:t>
            </w:r>
          </w:p>
          <w:tbl>
            <w:tblPr>
              <w:tblW w:w="0" w:type="auto"/>
              <w:jc w:val="center"/>
              <w:tblCellMar>
                <w:left w:w="0" w:type="dxa"/>
                <w:right w:w="0" w:type="dxa"/>
              </w:tblCellMar>
              <w:tblLook w:val="04A0"/>
            </w:tblPr>
            <w:tblGrid>
              <w:gridCol w:w="503"/>
              <w:gridCol w:w="3784"/>
              <w:gridCol w:w="704"/>
              <w:gridCol w:w="2196"/>
              <w:gridCol w:w="1109"/>
            </w:tblGrid>
            <w:tr w:rsidR="007608DB">
              <w:trPr>
                <w:trHeight w:val="520"/>
                <w:jc w:val="center"/>
              </w:trPr>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編號</w:t>
                  </w:r>
                </w:p>
              </w:tc>
              <w:tc>
                <w:tcPr>
                  <w:tcW w:w="4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題</w:t>
                  </w:r>
                  <w:r>
                    <w:rPr>
                      <w:rFonts w:ascii="標楷體" w:eastAsia="標楷體" w:hint="eastAsia"/>
                      <w:b/>
                      <w:bCs/>
                    </w:rPr>
                    <w:t>    </w:t>
                  </w:r>
                  <w:r>
                    <w:rPr>
                      <w:rFonts w:ascii="標楷體" w:eastAsia="標楷體" w:hint="eastAsia"/>
                      <w:b/>
                      <w:bCs/>
                    </w:rPr>
                    <w:t xml:space="preserve"> 目</w:t>
                  </w:r>
                </w:p>
              </w:tc>
              <w:tc>
                <w:tcPr>
                  <w:tcW w:w="7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著作人</w:t>
                  </w:r>
                </w:p>
              </w:tc>
              <w:tc>
                <w:tcPr>
                  <w:tcW w:w="24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登載之刊物</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exact"/>
                    <w:jc w:val="center"/>
                    <w:rPr>
                      <w:rFonts w:ascii="新細明體" w:hAnsi="新細明體" w:cs="新細明體"/>
                    </w:rPr>
                  </w:pPr>
                  <w:r>
                    <w:rPr>
                      <w:rFonts w:ascii="標楷體" w:eastAsia="標楷體" w:hint="eastAsia"/>
                      <w:b/>
                      <w:bCs/>
                    </w:rPr>
                    <w:t>備註</w:t>
                  </w:r>
                </w:p>
              </w:tc>
            </w:tr>
            <w:tr w:rsidR="007608DB">
              <w:trPr>
                <w:trHeight w:val="917"/>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1</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sidRPr="00473DFE">
                    <w:rPr>
                      <w:rFonts w:ascii="標楷體" w:eastAsia="標楷體" w:hAnsi="標楷體" w:hint="eastAsia"/>
                    </w:rPr>
                    <w:t>行政執行救濟制度之研究-以公法上金錢給付義務之執行為中心</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jc w:val="both"/>
                    <w:rPr>
                      <w:rFonts w:ascii="新細明體" w:hAnsi="新細明體" w:cs="新細明體"/>
                    </w:rPr>
                  </w:pPr>
                  <w:r>
                    <w:rPr>
                      <w:rFonts w:ascii="標楷體" w:eastAsia="標楷體" w:hAnsi="標楷體" w:hint="eastAsia"/>
                    </w:rPr>
                    <w:t>劉世民</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刊登於103年10月出版之「102年度法務研究選輯」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獲選第1名</w:t>
                  </w:r>
                </w:p>
              </w:tc>
            </w:tr>
            <w:tr w:rsidR="007608DB">
              <w:trPr>
                <w:trHeight w:val="862"/>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2</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sidRPr="00473DFE">
                    <w:rPr>
                      <w:rFonts w:ascii="標楷體" w:eastAsia="標楷體" w:hAnsi="標楷體" w:hint="eastAsia"/>
                    </w:rPr>
                    <w:t>論我國有關拘提管收制度及實務案例之研析</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黃國書</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刊登於102年11月出版之「101年度法務研究選輯」</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獲選第2名</w:t>
                  </w:r>
                </w:p>
              </w:tc>
            </w:tr>
            <w:tr w:rsidR="007608DB">
              <w:trPr>
                <w:trHeight w:val="960"/>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3</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sidRPr="00473DFE">
                    <w:rPr>
                      <w:rFonts w:ascii="標楷體" w:eastAsia="標楷體" w:hAnsi="標楷體" w:hint="eastAsia"/>
                    </w:rPr>
                    <w:t>稅捐稽徵法第19條對非本人送達規定相關問題初探</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黃吉祥</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刊登於103年6月27日、7月4日出版之「法務通訊」第2703、2704期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獲選第3名</w:t>
                  </w:r>
                </w:p>
              </w:tc>
            </w:tr>
            <w:tr w:rsidR="007608DB">
              <w:trPr>
                <w:trHeight w:val="1095"/>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rPr>
                    <w:t>4</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sidRPr="00473DFE">
                    <w:rPr>
                      <w:rFonts w:ascii="標楷體" w:eastAsia="標楷體" w:hAnsi="標楷體" w:hint="eastAsia"/>
                    </w:rPr>
                    <w:t>探究民法契約類型化-以勞務契約為中心</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李俊慶</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刊登於102年12月30日出版之「法學的實踐與創新~陳猷龍教授六秩華誕祝壽論文集」上冊</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獲選第4名</w:t>
                  </w:r>
                </w:p>
              </w:tc>
            </w:tr>
            <w:tr w:rsidR="007608DB">
              <w:trPr>
                <w:trHeight w:val="825"/>
                <w:jc w:val="center"/>
              </w:trPr>
              <w:tc>
                <w:tcPr>
                  <w:tcW w:w="540"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608DB" w:rsidRDefault="007608DB">
                  <w:pPr>
                    <w:spacing w:before="100" w:beforeAutospacing="1" w:after="100" w:afterAutospacing="1" w:line="320" w:lineRule="atLeast"/>
                    <w:jc w:val="center"/>
                    <w:rPr>
                      <w:rFonts w:ascii="新細明體" w:hAnsi="新細明體" w:cs="新細明體"/>
                    </w:rPr>
                  </w:pPr>
                  <w:r>
                    <w:rPr>
                      <w:rFonts w:ascii="標楷體" w:eastAsia="標楷體" w:hAnsi="標楷體" w:hint="eastAsia"/>
                      <w:sz w:val="28"/>
                      <w:szCs w:val="28"/>
                    </w:rPr>
                    <w:t>5</w:t>
                  </w:r>
                </w:p>
              </w:tc>
              <w:tc>
                <w:tcPr>
                  <w:tcW w:w="43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sidRPr="00473DFE">
                    <w:rPr>
                      <w:rFonts w:ascii="標楷體" w:eastAsia="標楷體" w:hAnsi="標楷體" w:hint="eastAsia"/>
                    </w:rPr>
                    <w:t>預告登記不動產之執行</w:t>
                  </w:r>
                </w:p>
              </w:tc>
              <w:tc>
                <w:tcPr>
                  <w:tcW w:w="7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蕭小娟</w:t>
                  </w:r>
                </w:p>
              </w:tc>
              <w:tc>
                <w:tcPr>
                  <w:tcW w:w="24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刊登於103年9月10日出版之「稅務旬刊」第2266期</w:t>
                  </w:r>
                </w:p>
              </w:tc>
              <w:tc>
                <w:tcPr>
                  <w:tcW w:w="12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608DB" w:rsidRDefault="007608DB">
                  <w:pPr>
                    <w:rPr>
                      <w:sz w:val="20"/>
                      <w:szCs w:val="20"/>
                    </w:rPr>
                  </w:pPr>
                  <w:r>
                    <w:rPr>
                      <w:rFonts w:ascii="標楷體" w:eastAsia="標楷體" w:hAnsi="標楷體" w:hint="eastAsia"/>
                    </w:rPr>
                    <w:t>獲選第5名</w:t>
                  </w:r>
                </w:p>
              </w:tc>
            </w:tr>
          </w:tbl>
          <w:p w:rsidR="007608DB" w:rsidRDefault="007608DB">
            <w:pPr>
              <w:spacing w:before="100" w:beforeAutospacing="1" w:after="100" w:afterAutospacing="1"/>
              <w:jc w:val="center"/>
            </w:pPr>
            <w:r>
              <w:rPr>
                <w:rFonts w:ascii="標楷體" w:eastAsia="標楷體" w:hAnsi="標楷體" w:hint="eastAsia"/>
                <w:sz w:val="28"/>
                <w:szCs w:val="28"/>
              </w:rPr>
              <w:t>※僅供行政執行業務參考，如有他用應得著作人之同意。</w:t>
            </w: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pPr>
            <w:r>
              <w:t xml:space="preserve">　</w:t>
            </w:r>
          </w:p>
          <w:p w:rsidR="007608DB" w:rsidRDefault="007608DB">
            <w:pPr>
              <w:spacing w:before="100" w:beforeAutospacing="1" w:after="100" w:afterAutospacing="1"/>
              <w:jc w:val="center"/>
            </w:pPr>
            <w:r>
              <w:t xml:space="preserve">  </w:t>
            </w:r>
          </w:p>
          <w:p w:rsidR="007608DB" w:rsidRDefault="007608DB">
            <w:pPr>
              <w:snapToGrid w:val="0"/>
              <w:jc w:val="center"/>
            </w:pPr>
            <w:r>
              <w:t xml:space="preserve">　</w:t>
            </w:r>
          </w:p>
          <w:p w:rsidR="007608DB" w:rsidRDefault="007608DB"/>
        </w:tc>
      </w:tr>
    </w:tbl>
    <w:p w:rsidR="00140DF1" w:rsidRPr="007608DB" w:rsidRDefault="00140DF1"/>
    <w:sectPr w:rsidR="00140DF1" w:rsidRPr="007608DB" w:rsidSect="00140DF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8DB"/>
    <w:rsid w:val="00140DF1"/>
    <w:rsid w:val="00473DFE"/>
    <w:rsid w:val="007608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DB"/>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uiPriority w:val="99"/>
    <w:semiHidden/>
    <w:rsid w:val="007608DB"/>
    <w:rPr>
      <w:rFonts w:ascii="Times New Roman" w:eastAsia="新細明體" w:hAnsi="Times New Roman" w:cs="Times New Roman"/>
      <w:kern w:val="0"/>
      <w:sz w:val="20"/>
      <w:szCs w:val="20"/>
    </w:rPr>
  </w:style>
  <w:style w:type="paragraph" w:styleId="a4">
    <w:name w:val="header"/>
    <w:basedOn w:val="a"/>
    <w:link w:val="a3"/>
    <w:uiPriority w:val="99"/>
    <w:semiHidden/>
    <w:unhideWhenUsed/>
    <w:rsid w:val="007608DB"/>
    <w:pPr>
      <w:tabs>
        <w:tab w:val="center" w:pos="4153"/>
        <w:tab w:val="right" w:pos="8306"/>
      </w:tabs>
      <w:snapToGrid w:val="0"/>
    </w:pPr>
    <w:rPr>
      <w:sz w:val="20"/>
      <w:szCs w:val="20"/>
    </w:rPr>
  </w:style>
  <w:style w:type="character" w:customStyle="1" w:styleId="a5">
    <w:name w:val="頁尾 字元"/>
    <w:basedOn w:val="a0"/>
    <w:link w:val="a6"/>
    <w:uiPriority w:val="99"/>
    <w:semiHidden/>
    <w:rsid w:val="007608DB"/>
    <w:rPr>
      <w:rFonts w:ascii="Times New Roman" w:eastAsia="新細明體" w:hAnsi="Times New Roman" w:cs="Times New Roman"/>
      <w:kern w:val="0"/>
      <w:sz w:val="20"/>
      <w:szCs w:val="20"/>
    </w:rPr>
  </w:style>
  <w:style w:type="paragraph" w:styleId="a6">
    <w:name w:val="footer"/>
    <w:basedOn w:val="a"/>
    <w:link w:val="a5"/>
    <w:uiPriority w:val="99"/>
    <w:semiHidden/>
    <w:unhideWhenUsed/>
    <w:rsid w:val="007608DB"/>
    <w:pPr>
      <w:tabs>
        <w:tab w:val="center" w:pos="4153"/>
        <w:tab w:val="right" w:pos="8306"/>
      </w:tabs>
      <w:snapToGrid w:val="0"/>
    </w:pPr>
    <w:rPr>
      <w:sz w:val="20"/>
      <w:szCs w:val="20"/>
    </w:rPr>
  </w:style>
  <w:style w:type="character" w:styleId="a7">
    <w:name w:val="Hyperlink"/>
    <w:basedOn w:val="a0"/>
    <w:uiPriority w:val="99"/>
    <w:semiHidden/>
    <w:unhideWhenUsed/>
    <w:rsid w:val="007608DB"/>
    <w:rPr>
      <w:color w:val="0000FF" w:themeColor="hyperlink"/>
      <w:u w:val="single"/>
    </w:rPr>
  </w:style>
  <w:style w:type="paragraph" w:styleId="Web">
    <w:name w:val="Normal (Web)"/>
    <w:basedOn w:val="a"/>
    <w:uiPriority w:val="99"/>
    <w:unhideWhenUsed/>
    <w:rsid w:val="007608DB"/>
    <w:pPr>
      <w:spacing w:before="100" w:beforeAutospacing="1" w:after="100" w:afterAutospacing="1"/>
    </w:pPr>
    <w:rPr>
      <w:rFonts w:ascii="新細明體" w:hAnsi="新細明體" w:cs="新細明體"/>
    </w:rPr>
  </w:style>
</w:styles>
</file>

<file path=word/webSettings.xml><?xml version="1.0" encoding="utf-8"?>
<w:webSettings xmlns:r="http://schemas.openxmlformats.org/officeDocument/2006/relationships" xmlns:w="http://schemas.openxmlformats.org/wordprocessingml/2006/main">
  <w:divs>
    <w:div w:id="5409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72.31.93.6/tpknew/&#30740;&#31350;&#22577;&#21578;&#19978;&#32178;&#36039;&#26009;/96&#24180;&#24230;&#30740;&#31350;&#22577;&#21578;/5&#12289;&#24373;&#21746;&#27054;-&#26032;&#20462;&#27491;&#31237;&#25424;&#31293;&#24501;&#27861;&#31532;6&#26781;&#36969;&#29992;&#20043;&#30740;&#31350;.doc" TargetMode="External"/><Relationship Id="rId13" Type="http://schemas.openxmlformats.org/officeDocument/2006/relationships/hyperlink" Target="http://172.31.93.6/tpknew/&#30740;&#31350;&#22577;&#21578;&#19978;&#32178;&#36039;&#26009;/96&#24180;&#24230;&#30740;&#31350;&#22577;&#21578;/10&#12289;&#26954;&#22025;&#28304;-&#30475;&#26085;&#26412;&#22914;&#20309;&#21453;&#21046;&#33067;&#29986;&#36867;&#28431;&#33457;&#25307;&#65293;&#26085;&#26412;&#20844;&#27861;&#19978;&#37329;&#37666;&#32102;&#20184;&#32681;&#21209;&#22519;&#34892;&#21046;&#24230;&#31777;&#20171;.doc" TargetMode="External"/><Relationship Id="rId18" Type="http://schemas.openxmlformats.org/officeDocument/2006/relationships/hyperlink" Target="http://172.31.93.6/tpknew/&#30740;&#31350;&#22577;&#21578;&#19978;&#32178;&#36039;&#26009;/96&#24180;&#24230;&#30740;&#31350;&#22577;&#21578;/15&#12289;&#23002;&#20854;&#32854;-&#33467;&#35696;&#34892;&#25919;&#22519;&#34892;&#27861;&#38480;&#21046;&#20986;&#22659;&#20043;&#20316;&#28858;&#33287;&#38761;&#26032;.doc" TargetMode="External"/><Relationship Id="rId3" Type="http://schemas.openxmlformats.org/officeDocument/2006/relationships/webSettings" Target="webSettings.xml"/><Relationship Id="rId7" Type="http://schemas.openxmlformats.org/officeDocument/2006/relationships/hyperlink" Target="http://172.31.93.6/tpknew/&#30740;&#31350;&#22577;&#21578;&#19978;&#32178;&#36039;&#26009;/96&#24180;&#24230;&#30740;&#31350;&#22577;&#21578;/4&#12289;&#36084;&#28113;&#27387;-&#28154;&#35527;&#20844;&#27861;&#19978;&#35531;&#27714;&#27402;&#26178;&#25928;&#21450;&#22519;&#34892;&#26178;&#25928;.doc" TargetMode="External"/><Relationship Id="rId12" Type="http://schemas.openxmlformats.org/officeDocument/2006/relationships/hyperlink" Target="http://172.31.93.6/tpknew/&#30740;&#31350;&#22577;&#21578;&#19978;&#32178;&#36039;&#26009;/96&#24180;&#24230;&#30740;&#31350;&#22577;&#21578;/9&#12289;&#29579;&#37329;&#35920;-&#34892;&#25919;&#22519;&#34892;&#31243;&#24207;&#20013;&#31227;&#36865;&#27231;&#38364;&#20043;&#21332;&#21147;&#32681;&#21209;.doc" TargetMode="External"/><Relationship Id="rId17" Type="http://schemas.openxmlformats.org/officeDocument/2006/relationships/hyperlink" Target="http://172.31.93.6/tpknew/&#30740;&#31350;&#22577;&#21578;&#19978;&#32178;&#36039;&#26009;/96&#24180;&#24230;&#30740;&#31350;&#22577;&#21578;/14&#12289;&#26954;&#22025;&#28304;-&#31199;&#31237;&#20778;&#20808;&#27402;&#26032;&#35215;&#23450;&#25490;&#25824;&#24037;&#36039;&#20661;&#27402;&#65293;&#20462;&#27491;&#31237;&#25424;&#31293;&#24501;&#27861;&#31532;&#20845;&#26781;&#21078;&#26512;.doc" TargetMode="External"/><Relationship Id="rId2" Type="http://schemas.openxmlformats.org/officeDocument/2006/relationships/settings" Target="settings.xml"/><Relationship Id="rId16" Type="http://schemas.openxmlformats.org/officeDocument/2006/relationships/hyperlink" Target="http://172.31.93.6/tpknew/&#30740;&#31350;&#22577;&#21578;&#19978;&#32178;&#36039;&#26009;/96&#24180;&#24230;&#30740;&#31350;&#22577;&#21578;/13&#12289;&#29579;&#37329;&#35920;-&#34892;&#25919;&#22519;&#34892;&#31243;&#24207;&#38651;&#23376;&#21270;&#20043;&#22238;&#39015;&#33287;&#23637;&#26395;.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72.31.93.6/tpknew/&#30740;&#31350;&#22577;&#21578;&#19978;&#32178;&#36039;&#26009;/96&#24180;&#24230;&#30740;&#31350;&#22577;&#21578;/3&#12289;&#26446;&#20426;&#24950;-&#31237;&#25424;&#31293;&#24501;&#27861;&#38364;&#26044;&#21009;&#32624;&#35215;&#23450;&#20043;&#30740;&#31350;.doc" TargetMode="External"/><Relationship Id="rId11" Type="http://schemas.openxmlformats.org/officeDocument/2006/relationships/hyperlink" Target="http://172.31.93.6/tpknew/&#30740;&#31350;&#22577;&#21578;&#19978;&#32178;&#36039;&#26009;/96&#24180;&#24230;&#30740;&#31350;&#22577;&#21578;/8&#12289;&#38515;&#20856;&#32854;-&#25506;&#35342;&#26032;&#20462;&#27491;&#31237;&#25424;&#31293;&#24501;&#27861;&#31532;23&#26781;&#31532;4&#21450;5&#38917;&#35215;&#23450;.doc" TargetMode="External"/><Relationship Id="rId5" Type="http://schemas.openxmlformats.org/officeDocument/2006/relationships/hyperlink" Target="http://172.31.93.6/tpknew/&#30740;&#31350;&#22577;&#21578;&#19978;&#32178;&#36039;&#26009;/96&#24180;&#24230;&#30740;&#31350;&#22577;&#21578;/2&#12289;&#24373;&#21746;&#27054;-&#24037;&#31243;&#21463;&#30410;&#36027;&#20043;&#26178;&#25928;&#33287;&#22519;&#34892;&#26399;&#38291;.doc" TargetMode="External"/><Relationship Id="rId15" Type="http://schemas.openxmlformats.org/officeDocument/2006/relationships/hyperlink" Target="http://172.31.93.6/tpknew/&#30740;&#31350;&#22577;&#21578;&#19978;&#32178;&#36039;&#26009;/96&#24180;&#24230;&#30740;&#31350;&#22577;&#21578;/12&#12289;&#24373;&#21746;&#27054;-&#26032;&#20462;&#27491;&#31237;&#25424;&#31293;&#24501;&#27861;&#31532;23&#26781;&#36969;&#29992;&#20043;&#30740;&#31350;.doc" TargetMode="External"/><Relationship Id="rId10" Type="http://schemas.openxmlformats.org/officeDocument/2006/relationships/hyperlink" Target="http://172.31.93.6/tpknew/&#30740;&#31350;&#22577;&#21578;&#19978;&#32178;&#36039;&#26009;/96&#24180;&#24230;&#30740;&#31350;&#22577;&#21578;/7&#12289;&#26954;&#22025;&#28304;-&#20844;&#21496;&#28165;&#31639;&#20154;&#30340;&#27861;&#24459;&#36012;&#20219;.doc" TargetMode="External"/><Relationship Id="rId19" Type="http://schemas.openxmlformats.org/officeDocument/2006/relationships/fontTable" Target="fontTable.xml"/><Relationship Id="rId4" Type="http://schemas.openxmlformats.org/officeDocument/2006/relationships/hyperlink" Target="http://172.31.93.6/tpknew/&#30740;&#31350;&#22577;&#21578;&#19978;&#32178;&#36039;&#26009;/96&#24180;&#24230;&#30740;&#31350;&#22577;&#21578;/1&#12289;&#38515;&#20856;&#32854;-&#27424;&#31237;&#26696;&#20214;&#22519;&#34892;&#26399;&#38291;&#20043;&#25506;&#35342;.doc" TargetMode="External"/><Relationship Id="rId9" Type="http://schemas.openxmlformats.org/officeDocument/2006/relationships/hyperlink" Target="http://172.31.93.6/tpknew/&#30740;&#31350;&#22577;&#21578;&#19978;&#32178;&#36039;&#26009;/96&#24180;&#24230;&#30740;&#31350;&#22577;&#21578;/6&#12289;&#23002;&#20854;&#32854;-&#34892;&#25919;&#22519;&#34892;&#27861;&#31532;19&#26781;&#31532;4&#38917;&#20877;&#34892;&#31649;&#25910;&#31243;&#24207;&#20043;&#30740;&#31350;.doc" TargetMode="External"/><Relationship Id="rId14" Type="http://schemas.openxmlformats.org/officeDocument/2006/relationships/hyperlink" Target="http://172.31.93.6/tpknew/&#30740;&#31350;&#22577;&#21578;&#19978;&#32178;&#36039;&#26009;/96&#24180;&#24230;&#30740;&#31350;&#22577;&#21578;/11&#12289;&#34081;&#22522;&#25991;-&#22519;&#34892;&#27424;&#31237;&#20154;&#20449;&#35351;&#36001;&#29986;&#20043;&#25506;&#35342;.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13</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chihhan0514</dc:creator>
  <cp:lastModifiedBy>chihhan0514</cp:lastModifiedBy>
  <cp:revision>1</cp:revision>
  <dcterms:created xsi:type="dcterms:W3CDTF">2016-03-04T03:28:00Z</dcterms:created>
  <dcterms:modified xsi:type="dcterms:W3CDTF">2016-03-04T05:44:00Z</dcterms:modified>
</cp:coreProperties>
</file>